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F6A1" w14:textId="3922FB3D" w:rsidR="001470FF" w:rsidRPr="001C2E4C" w:rsidRDefault="008F26A5" w:rsidP="001470FF">
      <w:pPr>
        <w:spacing w:before="362" w:after="0"/>
        <w:ind w:left="1985"/>
        <w:rPr>
          <w:b/>
          <w:color w:val="000000" w:themeColor="text1"/>
          <w:w w:val="95"/>
          <w:sz w:val="40"/>
        </w:rPr>
      </w:pPr>
      <w:bookmarkStart w:id="0" w:name="_GoBack"/>
      <w:bookmarkEnd w:id="0"/>
      <w:r>
        <w:rPr>
          <w:b/>
          <w:color w:val="000000" w:themeColor="text1"/>
          <w:w w:val="95"/>
          <w:sz w:val="40"/>
        </w:rPr>
        <w:t>Rentekorridor</w:t>
      </w:r>
    </w:p>
    <w:p w14:paraId="7DF04D76" w14:textId="244C4D4F" w:rsidR="004B28D5" w:rsidRPr="00971A87" w:rsidRDefault="008F26A5" w:rsidP="00796F07">
      <w:pPr>
        <w:spacing w:line="255" w:lineRule="auto"/>
        <w:ind w:left="1985" w:right="339"/>
        <w:rPr>
          <w:color w:val="808080" w:themeColor="background1" w:themeShade="80"/>
        </w:rPr>
        <w:sectPr w:rsidR="004B28D5" w:rsidRPr="00971A87" w:rsidSect="00971A87">
          <w:headerReference w:type="even" r:id="rId8"/>
          <w:headerReference w:type="default" r:id="rId9"/>
          <w:footerReference w:type="even" r:id="rId10"/>
          <w:footerReference w:type="default" r:id="rId11"/>
          <w:headerReference w:type="first" r:id="rId12"/>
          <w:footerReference w:type="first" r:id="rId13"/>
          <w:pgSz w:w="11906" w:h="16838"/>
          <w:pgMar w:top="1304" w:right="964" w:bottom="1304" w:left="964" w:header="709" w:footer="709" w:gutter="0"/>
          <w:cols w:space="708"/>
          <w:docGrid w:linePitch="360"/>
        </w:sectPr>
      </w:pPr>
      <w:r w:rsidRPr="008F26A5">
        <w:rPr>
          <w:color w:val="808080" w:themeColor="background1" w:themeShade="80"/>
        </w:rPr>
        <w:t xml:space="preserve">En rentekorridor er et finansielt instrument, som </w:t>
      </w:r>
      <w:r w:rsidR="00626555">
        <w:rPr>
          <w:color w:val="808080" w:themeColor="background1" w:themeShade="80"/>
        </w:rPr>
        <w:t>en virksomhed</w:t>
      </w:r>
      <w:r w:rsidR="00626555" w:rsidRPr="008F26A5">
        <w:rPr>
          <w:color w:val="808080" w:themeColor="background1" w:themeShade="80"/>
        </w:rPr>
        <w:t xml:space="preserve"> </w:t>
      </w:r>
      <w:r w:rsidRPr="008F26A5">
        <w:rPr>
          <w:color w:val="808080" w:themeColor="background1" w:themeShade="80"/>
        </w:rPr>
        <w:t xml:space="preserve">med variabel finansiering kan anvende til at lægge et loft og en bund for, hvor meget </w:t>
      </w:r>
      <w:r w:rsidR="00626555">
        <w:rPr>
          <w:color w:val="808080" w:themeColor="background1" w:themeShade="80"/>
        </w:rPr>
        <w:t>virksomhedens</w:t>
      </w:r>
      <w:r w:rsidR="00626555" w:rsidRPr="008F26A5">
        <w:rPr>
          <w:color w:val="808080" w:themeColor="background1" w:themeShade="80"/>
        </w:rPr>
        <w:t xml:space="preserve"> </w:t>
      </w:r>
      <w:r w:rsidRPr="008F26A5">
        <w:rPr>
          <w:color w:val="808080" w:themeColor="background1" w:themeShade="80"/>
        </w:rPr>
        <w:t>renteudgifter kan svinge.</w:t>
      </w:r>
      <w:r>
        <w:rPr>
          <w:color w:val="808080" w:themeColor="background1" w:themeShade="80"/>
        </w:rPr>
        <w:t xml:space="preserve"> </w:t>
      </w:r>
      <w:r w:rsidRPr="008F26A5">
        <w:rPr>
          <w:color w:val="808080" w:themeColor="background1" w:themeShade="80"/>
        </w:rPr>
        <w:t xml:space="preserve">Dette sker ved at kombinere de finansielle instrumenter </w:t>
      </w:r>
      <w:r w:rsidR="00625139">
        <w:rPr>
          <w:color w:val="808080" w:themeColor="background1" w:themeShade="80"/>
        </w:rPr>
        <w:t>K</w:t>
      </w:r>
      <w:r w:rsidRPr="008F26A5">
        <w:rPr>
          <w:color w:val="808080" w:themeColor="background1" w:themeShade="80"/>
        </w:rPr>
        <w:t xml:space="preserve">øbt renteloft og </w:t>
      </w:r>
      <w:r w:rsidR="00625139">
        <w:rPr>
          <w:color w:val="808080" w:themeColor="background1" w:themeShade="80"/>
        </w:rPr>
        <w:t>S</w:t>
      </w:r>
      <w:r w:rsidRPr="008F26A5">
        <w:rPr>
          <w:color w:val="808080" w:themeColor="background1" w:themeShade="80"/>
        </w:rPr>
        <w:t>olgt rentegulv. Aftalen kan laves på hele eller dele af virksomhedens variabelt forrentede finansiering.</w:t>
      </w:r>
    </w:p>
    <w:p w14:paraId="6576CE2E" w14:textId="064D8927" w:rsidR="00796F07" w:rsidRPr="007A6F3E" w:rsidRDefault="00796F07" w:rsidP="007A6F3E">
      <w:pPr>
        <w:pStyle w:val="Brdtekst"/>
        <w:spacing w:line="244" w:lineRule="auto"/>
        <w:rPr>
          <w:rFonts w:asciiTheme="minorHAnsi" w:eastAsia="Cambria" w:hAnsiTheme="minorHAnsi" w:cs="Cambria"/>
          <w:b/>
          <w:bCs/>
          <w:color w:val="000000" w:themeColor="text1"/>
          <w:lang w:val="da-DK"/>
        </w:rPr>
      </w:pPr>
      <w:r w:rsidRPr="007A6F3E">
        <w:rPr>
          <w:rFonts w:asciiTheme="minorHAnsi" w:eastAsia="Cambria" w:hAnsiTheme="minorHAnsi" w:cs="Cambria"/>
          <w:b/>
          <w:bCs/>
          <w:color w:val="000000" w:themeColor="text1"/>
          <w:lang w:val="da-DK"/>
        </w:rPr>
        <w:t xml:space="preserve">Hvad er </w:t>
      </w:r>
      <w:r w:rsidR="00625139">
        <w:rPr>
          <w:rFonts w:asciiTheme="minorHAnsi" w:eastAsia="Cambria" w:hAnsiTheme="minorHAnsi" w:cs="Cambria"/>
          <w:b/>
          <w:bCs/>
          <w:color w:val="000000" w:themeColor="text1"/>
          <w:lang w:val="da-DK"/>
        </w:rPr>
        <w:t xml:space="preserve">en </w:t>
      </w:r>
      <w:r w:rsidR="008F26A5">
        <w:rPr>
          <w:rFonts w:asciiTheme="minorHAnsi" w:eastAsia="Cambria" w:hAnsiTheme="minorHAnsi" w:cs="Cambria"/>
          <w:b/>
          <w:bCs/>
          <w:color w:val="000000" w:themeColor="text1"/>
          <w:lang w:val="da-DK"/>
        </w:rPr>
        <w:t>rentekorridor</w:t>
      </w:r>
      <w:r w:rsidRPr="007A6F3E">
        <w:rPr>
          <w:rFonts w:asciiTheme="minorHAnsi" w:eastAsia="Cambria" w:hAnsiTheme="minorHAnsi" w:cs="Cambria"/>
          <w:b/>
          <w:bCs/>
          <w:color w:val="000000" w:themeColor="text1"/>
          <w:lang w:val="da-DK"/>
        </w:rPr>
        <w:t>?</w:t>
      </w:r>
    </w:p>
    <w:p w14:paraId="74553A92" w14:textId="2254CF29" w:rsidR="00796F07" w:rsidRDefault="008F26A5" w:rsidP="007A6F3E">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En rentekorridor er sammensat af et købt renteloft og et solgt rentegulv. Kombinationen af de to produkter skaber en korridor, hvor den variable rente kan bevæge sig indenfor. Loft og bund aftales ved indgåelse af aftalen, ligesom løbetid og tilbagebetaling.</w:t>
      </w:r>
    </w:p>
    <w:p w14:paraId="2A9C2BBE" w14:textId="77777777" w:rsidR="008F26A5" w:rsidRPr="007A6F3E" w:rsidRDefault="008F26A5" w:rsidP="007A6F3E">
      <w:pPr>
        <w:pStyle w:val="Brdtekst"/>
        <w:spacing w:line="244" w:lineRule="auto"/>
        <w:rPr>
          <w:rFonts w:asciiTheme="minorHAnsi" w:hAnsiTheme="minorHAnsi"/>
          <w:color w:val="808080" w:themeColor="background1" w:themeShade="80"/>
          <w:lang w:val="da-DK"/>
        </w:rPr>
      </w:pPr>
    </w:p>
    <w:p w14:paraId="7AFDC99A" w14:textId="38DF09BE" w:rsidR="007A6F3E" w:rsidRDefault="008F26A5" w:rsidP="007A6F3E">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En rentekorridor består af </w:t>
      </w:r>
      <w:r w:rsidR="00625139" w:rsidRPr="008F26A5">
        <w:rPr>
          <w:rFonts w:asciiTheme="minorHAnsi" w:hAnsiTheme="minorHAnsi"/>
          <w:color w:val="808080" w:themeColor="background1" w:themeShade="80"/>
          <w:lang w:val="da-DK"/>
        </w:rPr>
        <w:t xml:space="preserve">både </w:t>
      </w:r>
      <w:r w:rsidRPr="008F26A5">
        <w:rPr>
          <w:rFonts w:asciiTheme="minorHAnsi" w:hAnsiTheme="minorHAnsi"/>
          <w:color w:val="808080" w:themeColor="background1" w:themeShade="80"/>
          <w:lang w:val="da-DK"/>
        </w:rPr>
        <w:t>købte og solgte optioner. Renteloftet består af en række (købte) optioner, og rentegulvet består af en række (solgte) optioner. Prisen for at indgå rentekorridoren kaldes optionspræmien. Optionspræmien er sammensat af en præmie, du skal betale for renteloftet</w:t>
      </w:r>
      <w:r w:rsidR="00625139">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 xml:space="preserve"> og en præmie du vil modtage for rente</w:t>
      </w:r>
      <w:r w:rsidR="00625139">
        <w:rPr>
          <w:rFonts w:asciiTheme="minorHAnsi" w:hAnsiTheme="minorHAnsi"/>
          <w:color w:val="808080" w:themeColor="background1" w:themeShade="80"/>
          <w:lang w:val="da-DK"/>
        </w:rPr>
        <w:t xml:space="preserve">gulvet. Forskellen </w:t>
      </w:r>
      <w:r w:rsidRPr="008F26A5">
        <w:rPr>
          <w:rFonts w:asciiTheme="minorHAnsi" w:hAnsiTheme="minorHAnsi"/>
          <w:color w:val="808080" w:themeColor="background1" w:themeShade="80"/>
          <w:lang w:val="da-DK"/>
        </w:rPr>
        <w:t xml:space="preserve">mellem de to præmier kan være positiv, negativ eller omkostningsneutral og </w:t>
      </w:r>
      <w:r w:rsidR="00625139">
        <w:rPr>
          <w:rFonts w:asciiTheme="minorHAnsi" w:hAnsiTheme="minorHAnsi"/>
          <w:color w:val="808080" w:themeColor="background1" w:themeShade="80"/>
          <w:lang w:val="da-DK"/>
        </w:rPr>
        <w:t>beregnes</w:t>
      </w:r>
      <w:r w:rsidRPr="008F26A5">
        <w:rPr>
          <w:rFonts w:asciiTheme="minorHAnsi" w:hAnsiTheme="minorHAnsi"/>
          <w:color w:val="808080" w:themeColor="background1" w:themeShade="80"/>
          <w:lang w:val="da-DK"/>
        </w:rPr>
        <w:t xml:space="preserve"> som et tillæg eller fradrag </w:t>
      </w:r>
      <w:r w:rsidR="00625139">
        <w:rPr>
          <w:rFonts w:asciiTheme="minorHAnsi" w:hAnsiTheme="minorHAnsi"/>
          <w:color w:val="808080" w:themeColor="background1" w:themeShade="80"/>
          <w:lang w:val="da-DK"/>
        </w:rPr>
        <w:t>til den variable rente i</w:t>
      </w:r>
      <w:r w:rsidRPr="008F26A5">
        <w:rPr>
          <w:rFonts w:asciiTheme="minorHAnsi" w:hAnsiTheme="minorHAnsi"/>
          <w:color w:val="808080" w:themeColor="background1" w:themeShade="80"/>
          <w:lang w:val="da-DK"/>
        </w:rPr>
        <w:t xml:space="preserve"> aftalens løbetid.</w:t>
      </w:r>
    </w:p>
    <w:p w14:paraId="3A067A2F" w14:textId="258A3ABD" w:rsidR="008F26A5" w:rsidRDefault="008F26A5" w:rsidP="007A6F3E">
      <w:pPr>
        <w:pStyle w:val="Brdtekst"/>
        <w:spacing w:line="244" w:lineRule="auto"/>
        <w:rPr>
          <w:rFonts w:asciiTheme="minorHAnsi" w:hAnsiTheme="minorHAnsi"/>
          <w:color w:val="808080" w:themeColor="background1" w:themeShade="80"/>
          <w:lang w:val="da-DK"/>
        </w:rPr>
      </w:pPr>
    </w:p>
    <w:p w14:paraId="42FC1A16" w14:textId="612990C6" w:rsidR="008F26A5" w:rsidRDefault="008F26A5" w:rsidP="007A6F3E">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Optionspræmiens størrelse afhænger af niveauet for renteloftet og rentegulvet i forhold til det eksisterende renteniveau. Jo lavere loftet er</w:t>
      </w:r>
      <w:r w:rsidR="00625139">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 xml:space="preserve"> des højere vil prisen for renteloftet blive. Tilsvarende vil gulvet indbringe en højere optionspræmie</w:t>
      </w:r>
      <w:r w:rsidR="00625139">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 xml:space="preserve"> des </w:t>
      </w:r>
      <w:r w:rsidR="00480311">
        <w:rPr>
          <w:rFonts w:asciiTheme="minorHAnsi" w:hAnsiTheme="minorHAnsi"/>
          <w:color w:val="808080" w:themeColor="background1" w:themeShade="80"/>
          <w:lang w:val="da-DK"/>
        </w:rPr>
        <w:t>højere</w:t>
      </w:r>
      <w:r w:rsidR="00480311" w:rsidRPr="008F26A5">
        <w:rPr>
          <w:rFonts w:asciiTheme="minorHAnsi" w:hAnsiTheme="minorHAnsi"/>
          <w:color w:val="808080" w:themeColor="background1" w:themeShade="80"/>
          <w:lang w:val="da-DK"/>
        </w:rPr>
        <w:t xml:space="preserve"> </w:t>
      </w:r>
      <w:r w:rsidRPr="008F26A5">
        <w:rPr>
          <w:rFonts w:asciiTheme="minorHAnsi" w:hAnsiTheme="minorHAnsi"/>
          <w:color w:val="808080" w:themeColor="background1" w:themeShade="80"/>
          <w:lang w:val="da-DK"/>
        </w:rPr>
        <w:t>gulvet bliver fastsat. Derudover afhænger præmien af den aktuelle markedsrente, markedets forventninger til udsving i den variable rente samt løbetiden.</w:t>
      </w:r>
    </w:p>
    <w:p w14:paraId="54E80B55" w14:textId="65078F92" w:rsidR="008F26A5" w:rsidRDefault="008F26A5" w:rsidP="007A6F3E">
      <w:pPr>
        <w:pStyle w:val="Brdtekst"/>
        <w:spacing w:line="244" w:lineRule="auto"/>
        <w:rPr>
          <w:rFonts w:asciiTheme="minorHAnsi" w:hAnsiTheme="minorHAnsi"/>
          <w:color w:val="808080" w:themeColor="background1" w:themeShade="80"/>
          <w:lang w:val="da-DK"/>
        </w:rPr>
      </w:pPr>
    </w:p>
    <w:p w14:paraId="6E1BD01E" w14:textId="2FE9ABEA" w:rsidR="008F26A5" w:rsidRDefault="008F26A5" w:rsidP="007A6F3E">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Når du etablerer en rentekorridor, kan vilkårene for marginalen og bidraget på det bagvedlæggende lån ændres uafhængigt af rentekorridoren. Du vil derfor stadig kunne opleve ændringer i den samlede finansieringsydelse.</w:t>
      </w:r>
    </w:p>
    <w:p w14:paraId="3274EAC1" w14:textId="4A5EB12C" w:rsidR="008F26A5" w:rsidRDefault="008F26A5" w:rsidP="007A6F3E">
      <w:pPr>
        <w:pStyle w:val="Brdtekst"/>
        <w:spacing w:line="244" w:lineRule="auto"/>
        <w:rPr>
          <w:rFonts w:asciiTheme="minorHAnsi" w:hAnsiTheme="minorHAnsi"/>
          <w:color w:val="808080" w:themeColor="background1" w:themeShade="80"/>
          <w:lang w:val="da-DK"/>
        </w:rPr>
      </w:pPr>
    </w:p>
    <w:p w14:paraId="222A5696" w14:textId="1ED3478B" w:rsidR="007A6F3E" w:rsidRPr="00CC2AB0" w:rsidRDefault="007A6F3E" w:rsidP="007A6F3E">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Anvendelsesmuligheder</w:t>
      </w:r>
    </w:p>
    <w:p w14:paraId="08E71240" w14:textId="33E3053F" w:rsidR="00647D5F" w:rsidRDefault="008F26A5" w:rsidP="007A6F3E">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Har du f.eks. lån med variabel rente og ønsker at sikre dig mod stigninger i renten, og du samtidig ikke har </w:t>
      </w:r>
      <w:r w:rsidRPr="008F26A5">
        <w:rPr>
          <w:rFonts w:asciiTheme="minorHAnsi" w:hAnsiTheme="minorHAnsi"/>
          <w:color w:val="808080" w:themeColor="background1" w:themeShade="80"/>
          <w:lang w:val="da-DK"/>
        </w:rPr>
        <w:t>nogen forventninger om væsentlige rentefald, kan du med en rentekorridor købe et loft over renten og frasælge gevinstmuligheden ved en faldende rente. Den optionspræmie du modtager for salget af rentegulvet anvendes til at betale dele af eller hele optionspræmien på renteloftet. Så længe renten holder sig inden for loft og gulv vil du betale den aktuelle variable rente +/- den løbende optionspræmie.</w:t>
      </w:r>
    </w:p>
    <w:p w14:paraId="274D1788" w14:textId="77777777" w:rsidR="008F26A5" w:rsidRPr="007A6F3E" w:rsidRDefault="008F26A5" w:rsidP="007A6F3E">
      <w:pPr>
        <w:pStyle w:val="Brdtekst"/>
        <w:spacing w:line="244" w:lineRule="auto"/>
        <w:rPr>
          <w:rFonts w:asciiTheme="minorHAnsi" w:hAnsiTheme="minorHAnsi"/>
          <w:color w:val="808080" w:themeColor="background1" w:themeShade="80"/>
          <w:lang w:val="da-DK"/>
        </w:rPr>
      </w:pPr>
    </w:p>
    <w:p w14:paraId="0D80AAE4" w14:textId="77777777"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Handelsmuligheder</w:t>
      </w:r>
    </w:p>
    <w:p w14:paraId="0C48064D" w14:textId="0B0759C4" w:rsidR="007A6F3E" w:rsidRDefault="008F26A5" w:rsidP="007A6F3E">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En rentekorridor handles OTC (Over The </w:t>
      </w:r>
      <w:proofErr w:type="spellStart"/>
      <w:r w:rsidRPr="008F26A5">
        <w:rPr>
          <w:rFonts w:asciiTheme="minorHAnsi" w:hAnsiTheme="minorHAnsi"/>
          <w:color w:val="808080" w:themeColor="background1" w:themeShade="80"/>
          <w:lang w:val="da-DK"/>
        </w:rPr>
        <w:t>Counter</w:t>
      </w:r>
      <w:proofErr w:type="spellEnd"/>
      <w:r w:rsidRPr="008F26A5">
        <w:rPr>
          <w:rFonts w:asciiTheme="minorHAnsi" w:hAnsiTheme="minorHAnsi"/>
          <w:color w:val="808080" w:themeColor="background1" w:themeShade="80"/>
          <w:lang w:val="da-DK"/>
        </w:rPr>
        <w:t>). OTC-derivater handles direkte med modparten på individuelle vilkår, som giver mulighed for at tilpasse produktet til lige netop dig og dine behov. Ulempen ved at handle OTC kan blandt andet være, at der ikke findes standardpriser på produkterne, der er karakteriseret ved, at være individuelt tilpasset, og det kan derfor være vanskeligt at sammenligne priser.</w:t>
      </w:r>
    </w:p>
    <w:p w14:paraId="79AC1E86" w14:textId="77777777" w:rsidR="008F26A5" w:rsidRPr="007A6F3E" w:rsidRDefault="008F26A5" w:rsidP="007A6F3E">
      <w:pPr>
        <w:pStyle w:val="Brdtekst"/>
        <w:spacing w:line="244" w:lineRule="auto"/>
        <w:rPr>
          <w:rFonts w:asciiTheme="minorHAnsi" w:hAnsiTheme="minorHAnsi"/>
          <w:color w:val="808080" w:themeColor="background1" w:themeShade="80"/>
          <w:lang w:val="da-DK"/>
        </w:rPr>
      </w:pPr>
    </w:p>
    <w:p w14:paraId="07BCA268" w14:textId="77777777"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Ophør før udløb</w:t>
      </w:r>
    </w:p>
    <w:p w14:paraId="7997AA33"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Aftalen er som udgangspunkt bindende for begge parter. Ønsker du at komme ud af aftalen før udløb, kan dette ske mod betaling af den aktuelle markedsværdi. Markedsværdien kan både være positiv og negativ og dermed påføre dig enten et tab eller en gevinst. </w:t>
      </w:r>
    </w:p>
    <w:p w14:paraId="4A6960E3"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52FE2DE4" w14:textId="4681E119" w:rsidR="00796F07"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Du er ifølge aftalen forpligtet til at udveksle betalingerne frem til udløb af aftalen. Markedsværdien er prisen for at blive frigjort for forpligtelserne. Markedsværdien bliver derefter løbende opgjort og er et resultat af det aktuelle renteniveau.</w:t>
      </w:r>
    </w:p>
    <w:p w14:paraId="7FA54F53" w14:textId="77777777" w:rsidR="008F26A5" w:rsidRPr="007A6F3E" w:rsidRDefault="008F26A5" w:rsidP="008F26A5">
      <w:pPr>
        <w:pStyle w:val="Brdtekst"/>
        <w:spacing w:line="244" w:lineRule="auto"/>
        <w:rPr>
          <w:rFonts w:asciiTheme="minorHAnsi" w:hAnsiTheme="minorHAnsi"/>
          <w:color w:val="808080" w:themeColor="background1" w:themeShade="80"/>
          <w:lang w:val="da-DK"/>
        </w:rPr>
      </w:pPr>
    </w:p>
    <w:p w14:paraId="3ED6771C" w14:textId="77777777" w:rsidR="008F26A5" w:rsidRPr="00CC2AB0" w:rsidRDefault="008F26A5" w:rsidP="008F26A5">
      <w:pPr>
        <w:pStyle w:val="Brdtekst"/>
        <w:spacing w:line="244" w:lineRule="auto"/>
        <w:rPr>
          <w:rFonts w:asciiTheme="minorHAnsi" w:eastAsia="Cambria" w:hAnsiTheme="minorHAnsi" w:cs="Cambria"/>
          <w:b/>
          <w:bCs/>
          <w:color w:val="000000" w:themeColor="text1"/>
          <w:lang w:val="da-DK"/>
        </w:rPr>
      </w:pPr>
      <w:r w:rsidRPr="00CC2AB0">
        <w:rPr>
          <w:rFonts w:asciiTheme="minorHAnsi" w:eastAsia="Cambria" w:hAnsiTheme="minorHAnsi" w:cs="Cambria"/>
          <w:b/>
          <w:bCs/>
          <w:color w:val="000000" w:themeColor="text1"/>
          <w:lang w:val="da-DK"/>
        </w:rPr>
        <w:t>Hvad er risikoen?</w:t>
      </w:r>
    </w:p>
    <w:p w14:paraId="0A0144FB"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Når du indgår en rentekorridor påtager du dig blandt andet likviditets-, modparts og </w:t>
      </w:r>
      <w:r w:rsidRPr="008F26A5">
        <w:rPr>
          <w:rFonts w:asciiTheme="minorHAnsi" w:hAnsiTheme="minorHAnsi"/>
          <w:color w:val="808080" w:themeColor="background1" w:themeShade="80"/>
          <w:lang w:val="da-DK"/>
        </w:rPr>
        <w:t>markedsrisiko. En rentekorridor består af både købte og solgte renteoptioner. Risikoen for tab er derfor ubegrænset.</w:t>
      </w:r>
    </w:p>
    <w:p w14:paraId="6DC013F1"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7CC9FEAE" w14:textId="77777777" w:rsidR="008F26A5" w:rsidRPr="008F26A5" w:rsidRDefault="008F26A5" w:rsidP="008F26A5">
      <w:pPr>
        <w:pStyle w:val="Brdtekst"/>
        <w:spacing w:line="244" w:lineRule="auto"/>
        <w:rPr>
          <w:rFonts w:asciiTheme="minorHAnsi" w:hAnsiTheme="minorHAnsi"/>
          <w:i/>
          <w:lang w:val="da-DK"/>
        </w:rPr>
      </w:pPr>
      <w:r w:rsidRPr="008F26A5">
        <w:rPr>
          <w:rFonts w:asciiTheme="minorHAnsi" w:hAnsiTheme="minorHAnsi"/>
          <w:i/>
          <w:lang w:val="da-DK"/>
        </w:rPr>
        <w:t>Likviditetsrisici</w:t>
      </w:r>
    </w:p>
    <w:p w14:paraId="6C3C5C68" w14:textId="12A3E967"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På en rentekorridor sker der en løb</w:t>
      </w:r>
      <w:r w:rsidR="00850F6A">
        <w:rPr>
          <w:rFonts w:asciiTheme="minorHAnsi" w:hAnsiTheme="minorHAnsi"/>
          <w:color w:val="808080" w:themeColor="background1" w:themeShade="80"/>
          <w:lang w:val="da-DK"/>
        </w:rPr>
        <w:t xml:space="preserve">ende renteudveksling. Så længe </w:t>
      </w:r>
      <w:r w:rsidRPr="008F26A5">
        <w:rPr>
          <w:rFonts w:asciiTheme="minorHAnsi" w:hAnsiTheme="minorHAnsi"/>
          <w:color w:val="808080" w:themeColor="background1" w:themeShade="80"/>
          <w:lang w:val="da-DK"/>
        </w:rPr>
        <w:t>den variable rente</w:t>
      </w:r>
      <w:r w:rsidR="00625139">
        <w:rPr>
          <w:rFonts w:asciiTheme="minorHAnsi" w:hAnsiTheme="minorHAnsi"/>
          <w:color w:val="808080" w:themeColor="background1" w:themeShade="80"/>
          <w:lang w:val="da-DK"/>
        </w:rPr>
        <w:t xml:space="preserve"> holder sig indenfor den aftalte korridor (</w:t>
      </w:r>
      <w:r w:rsidRPr="008F26A5">
        <w:rPr>
          <w:rFonts w:asciiTheme="minorHAnsi" w:hAnsiTheme="minorHAnsi"/>
          <w:color w:val="808080" w:themeColor="background1" w:themeShade="80"/>
          <w:lang w:val="da-DK"/>
        </w:rPr>
        <w:t>lavere end loftet og højere end gulvet</w:t>
      </w:r>
      <w:r w:rsidR="00625139">
        <w:rPr>
          <w:rFonts w:asciiTheme="minorHAnsi" w:hAnsiTheme="minorHAnsi"/>
          <w:color w:val="808080" w:themeColor="background1" w:themeShade="80"/>
          <w:lang w:val="da-DK"/>
        </w:rPr>
        <w:t>)</w:t>
      </w:r>
      <w:r w:rsidR="00850F6A">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 xml:space="preserve"> er likviditetsrisiko</w:t>
      </w:r>
      <w:r w:rsidR="004356C2">
        <w:rPr>
          <w:rFonts w:asciiTheme="minorHAnsi" w:hAnsiTheme="minorHAnsi"/>
          <w:color w:val="808080" w:themeColor="background1" w:themeShade="80"/>
          <w:lang w:val="da-DK"/>
        </w:rPr>
        <w:t>en begrænset indenfor korridoren.</w:t>
      </w:r>
      <w:r w:rsidRPr="008F26A5">
        <w:rPr>
          <w:rFonts w:asciiTheme="minorHAnsi" w:hAnsiTheme="minorHAnsi"/>
          <w:color w:val="808080" w:themeColor="background1" w:themeShade="80"/>
          <w:lang w:val="da-DK"/>
        </w:rPr>
        <w:t xml:space="preserve"> Er den variable rente højere end loftet får </w:t>
      </w:r>
      <w:r w:rsidR="004356C2">
        <w:rPr>
          <w:rFonts w:asciiTheme="minorHAnsi" w:hAnsiTheme="minorHAnsi"/>
          <w:color w:val="808080" w:themeColor="background1" w:themeShade="80"/>
          <w:lang w:val="da-DK"/>
        </w:rPr>
        <w:t>du</w:t>
      </w:r>
      <w:r w:rsidRPr="008F26A5">
        <w:rPr>
          <w:rFonts w:asciiTheme="minorHAnsi" w:hAnsiTheme="minorHAnsi"/>
          <w:color w:val="808080" w:themeColor="background1" w:themeShade="80"/>
          <w:lang w:val="da-DK"/>
        </w:rPr>
        <w:t xml:space="preserve"> udbetalt den del af renten, der er højere end loftet. Der er derfor en gevinst på aftalen. Er renten derimod lavere er </w:t>
      </w:r>
      <w:r w:rsidR="004356C2">
        <w:rPr>
          <w:rFonts w:asciiTheme="minorHAnsi" w:hAnsiTheme="minorHAnsi"/>
          <w:color w:val="808080" w:themeColor="background1" w:themeShade="80"/>
          <w:lang w:val="da-DK"/>
        </w:rPr>
        <w:t>du</w:t>
      </w:r>
      <w:r w:rsidRPr="008F26A5">
        <w:rPr>
          <w:rFonts w:asciiTheme="minorHAnsi" w:hAnsiTheme="minorHAnsi"/>
          <w:color w:val="808080" w:themeColor="background1" w:themeShade="80"/>
          <w:lang w:val="da-DK"/>
        </w:rPr>
        <w:t xml:space="preserve"> forpligtet til at betale </w:t>
      </w:r>
      <w:r w:rsidR="00480311">
        <w:rPr>
          <w:rFonts w:asciiTheme="minorHAnsi" w:hAnsiTheme="minorHAnsi"/>
          <w:color w:val="808080" w:themeColor="background1" w:themeShade="80"/>
          <w:lang w:val="da-DK"/>
        </w:rPr>
        <w:t>forskellen mellem rentegulvet og den variable rente</w:t>
      </w:r>
      <w:r w:rsidRPr="008F26A5">
        <w:rPr>
          <w:rFonts w:asciiTheme="minorHAnsi" w:hAnsiTheme="minorHAnsi"/>
          <w:color w:val="808080" w:themeColor="background1" w:themeShade="80"/>
          <w:lang w:val="da-DK"/>
        </w:rPr>
        <w:t xml:space="preserve">. Dette medfører et likviditetstab for </w:t>
      </w:r>
      <w:r w:rsidR="004356C2">
        <w:rPr>
          <w:rFonts w:asciiTheme="minorHAnsi" w:hAnsiTheme="minorHAnsi"/>
          <w:color w:val="808080" w:themeColor="background1" w:themeShade="80"/>
          <w:lang w:val="da-DK"/>
        </w:rPr>
        <w:t>dig</w:t>
      </w:r>
      <w:r w:rsidRPr="008F26A5">
        <w:rPr>
          <w:rFonts w:asciiTheme="minorHAnsi" w:hAnsiTheme="minorHAnsi"/>
          <w:color w:val="808080" w:themeColor="background1" w:themeShade="80"/>
          <w:lang w:val="da-DK"/>
        </w:rPr>
        <w:t xml:space="preserve">. </w:t>
      </w:r>
    </w:p>
    <w:p w14:paraId="62B20414"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62536EAC" w14:textId="77777777" w:rsidR="008F26A5" w:rsidRPr="008F26A5" w:rsidRDefault="008F26A5" w:rsidP="008F26A5">
      <w:pPr>
        <w:pStyle w:val="Brdtekst"/>
        <w:spacing w:line="244" w:lineRule="auto"/>
        <w:rPr>
          <w:rFonts w:asciiTheme="minorHAnsi" w:hAnsiTheme="minorHAnsi"/>
          <w:i/>
          <w:lang w:val="da-DK"/>
        </w:rPr>
      </w:pPr>
      <w:r w:rsidRPr="008F26A5">
        <w:rPr>
          <w:rFonts w:asciiTheme="minorHAnsi" w:hAnsiTheme="minorHAnsi"/>
          <w:i/>
          <w:lang w:val="da-DK"/>
        </w:rPr>
        <w:t>Markedsrisiko</w:t>
      </w:r>
    </w:p>
    <w:p w14:paraId="35C99C8B"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Markedsrisikoen er risikoen for udsving i markedsværdien af rentekorridoren. </w:t>
      </w:r>
    </w:p>
    <w:p w14:paraId="12875518"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Der er ingen øvre eller nedre grænse for udviklingen i markedsværdien på en rentekorridor. </w:t>
      </w:r>
    </w:p>
    <w:p w14:paraId="6CD82FF7" w14:textId="108361D8"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Markedsværdien på en rentekorridor udvikler sig ikke lineært. Det betyder, at markedsværdien ikke vil udvikle sig symmetrisk ved en renteændring på henholdsvis +1,00%-point og -1,00%-point. Ændringen i markedsværdien på en rentekorridor er relativt mindre ved en rentestigning, end den er ved et rentefald, hvilket også fremgår af figur </w:t>
      </w:r>
      <w:r w:rsidR="00AA656C">
        <w:rPr>
          <w:rFonts w:asciiTheme="minorHAnsi" w:hAnsiTheme="minorHAnsi"/>
          <w:color w:val="808080" w:themeColor="background1" w:themeShade="80"/>
          <w:lang w:val="da-DK"/>
        </w:rPr>
        <w:t>1</w:t>
      </w:r>
      <w:r w:rsidRPr="008F26A5">
        <w:rPr>
          <w:rFonts w:asciiTheme="minorHAnsi" w:hAnsiTheme="minorHAnsi"/>
          <w:color w:val="808080" w:themeColor="background1" w:themeShade="80"/>
          <w:lang w:val="da-DK"/>
        </w:rPr>
        <w:t>.</w:t>
      </w:r>
    </w:p>
    <w:p w14:paraId="3CB5040D"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0769412A" w14:textId="24DF8AA9"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Markedsrisikoen påvirkes af aftalens restløbetid, det vil sige, hvornår dine forpligtelser på aftalen ophører. Det aftales mellem dig og </w:t>
      </w:r>
      <w:proofErr w:type="spellStart"/>
      <w:r w:rsidRPr="008F26A5">
        <w:rPr>
          <w:rFonts w:asciiTheme="minorHAnsi" w:hAnsiTheme="minorHAnsi"/>
          <w:color w:val="808080" w:themeColor="background1" w:themeShade="80"/>
          <w:lang w:val="da-DK"/>
        </w:rPr>
        <w:t>pengeinsti</w:t>
      </w:r>
      <w:r w:rsidR="009A6DBD">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tuttet</w:t>
      </w:r>
      <w:proofErr w:type="spellEnd"/>
      <w:r w:rsidRPr="008F26A5">
        <w:rPr>
          <w:rFonts w:asciiTheme="minorHAnsi" w:hAnsiTheme="minorHAnsi"/>
          <w:color w:val="808080" w:themeColor="background1" w:themeShade="80"/>
          <w:lang w:val="da-DK"/>
        </w:rPr>
        <w:t xml:space="preserve">, hvordan afviklingsforløbet skal være. </w:t>
      </w:r>
      <w:r w:rsidR="001A4069">
        <w:rPr>
          <w:rFonts w:asciiTheme="minorHAnsi" w:hAnsiTheme="minorHAnsi"/>
          <w:color w:val="808080" w:themeColor="background1" w:themeShade="80"/>
          <w:lang w:val="da-DK"/>
        </w:rPr>
        <w:t>Er der a</w:t>
      </w:r>
      <w:r w:rsidRPr="008F26A5">
        <w:rPr>
          <w:rFonts w:asciiTheme="minorHAnsi" w:hAnsiTheme="minorHAnsi"/>
          <w:color w:val="808080" w:themeColor="background1" w:themeShade="80"/>
          <w:lang w:val="da-DK"/>
        </w:rPr>
        <w:t>fvikling</w:t>
      </w:r>
      <w:r w:rsidR="001A4069">
        <w:rPr>
          <w:rFonts w:asciiTheme="minorHAnsi" w:hAnsiTheme="minorHAnsi"/>
          <w:color w:val="808080" w:themeColor="background1" w:themeShade="80"/>
          <w:lang w:val="da-DK"/>
        </w:rPr>
        <w:t xml:space="preserve"> på aftalen</w:t>
      </w:r>
      <w:r w:rsidRPr="008F26A5">
        <w:rPr>
          <w:rFonts w:asciiTheme="minorHAnsi" w:hAnsiTheme="minorHAnsi"/>
          <w:color w:val="808080" w:themeColor="background1" w:themeShade="80"/>
          <w:lang w:val="da-DK"/>
        </w:rPr>
        <w:t xml:space="preserve"> har </w:t>
      </w:r>
      <w:r w:rsidR="001A4069">
        <w:rPr>
          <w:rFonts w:asciiTheme="minorHAnsi" w:hAnsiTheme="minorHAnsi"/>
          <w:color w:val="808080" w:themeColor="background1" w:themeShade="80"/>
          <w:lang w:val="da-DK"/>
        </w:rPr>
        <w:t xml:space="preserve">det </w:t>
      </w:r>
      <w:r w:rsidRPr="008F26A5">
        <w:rPr>
          <w:rFonts w:asciiTheme="minorHAnsi" w:hAnsiTheme="minorHAnsi"/>
          <w:color w:val="808080" w:themeColor="background1" w:themeShade="80"/>
          <w:lang w:val="da-DK"/>
        </w:rPr>
        <w:t xml:space="preserve">betydning for, hvor følsom aftalen er over for ændringer i </w:t>
      </w:r>
      <w:proofErr w:type="spellStart"/>
      <w:r w:rsidRPr="008F26A5">
        <w:rPr>
          <w:rFonts w:asciiTheme="minorHAnsi" w:hAnsiTheme="minorHAnsi"/>
          <w:color w:val="808080" w:themeColor="background1" w:themeShade="80"/>
          <w:lang w:val="da-DK"/>
        </w:rPr>
        <w:t>ren</w:t>
      </w:r>
      <w:r w:rsidR="009A6DBD">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ten</w:t>
      </w:r>
      <w:proofErr w:type="spellEnd"/>
      <w:r w:rsidRPr="008F26A5">
        <w:rPr>
          <w:rFonts w:asciiTheme="minorHAnsi" w:hAnsiTheme="minorHAnsi"/>
          <w:color w:val="808080" w:themeColor="background1" w:themeShade="80"/>
          <w:lang w:val="da-DK"/>
        </w:rPr>
        <w:t>. Jo hurtigere rentekorridoren bliver afviklet, jo mindre følsom er aftalen over for ændringer i renten.</w:t>
      </w:r>
    </w:p>
    <w:p w14:paraId="77A800BA" w14:textId="11E4F343" w:rsidR="001A5560" w:rsidRPr="001A5560" w:rsidRDefault="001118B2" w:rsidP="008F26A5">
      <w:pPr>
        <w:pStyle w:val="Brdtekst"/>
        <w:spacing w:line="244" w:lineRule="auto"/>
        <w:rPr>
          <w:rFonts w:asciiTheme="minorHAnsi" w:hAnsiTheme="minorHAnsi"/>
          <w:b/>
          <w:sz w:val="22"/>
          <w:lang w:val="da-DK"/>
        </w:rPr>
      </w:pPr>
      <w:r>
        <w:rPr>
          <w:noProof/>
          <w:lang w:val="da-DK" w:eastAsia="da-DK"/>
        </w:rPr>
        <w:lastRenderedPageBreak/>
        <w:drawing>
          <wp:anchor distT="0" distB="0" distL="114300" distR="114300" simplePos="0" relativeHeight="251666432" behindDoc="0" locked="0" layoutInCell="1" allowOverlap="1" wp14:anchorId="771436E7" wp14:editId="7315FF7C">
            <wp:simplePos x="0" y="0"/>
            <wp:positionH relativeFrom="column">
              <wp:align>left</wp:align>
            </wp:positionH>
            <wp:positionV relativeFrom="paragraph">
              <wp:posOffset>251460</wp:posOffset>
            </wp:positionV>
            <wp:extent cx="3459480" cy="2520315"/>
            <wp:effectExtent l="0" t="0" r="7620"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9480" cy="2520315"/>
                    </a:xfrm>
                    <a:prstGeom prst="rect">
                      <a:avLst/>
                    </a:prstGeom>
                  </pic:spPr>
                </pic:pic>
              </a:graphicData>
            </a:graphic>
            <wp14:sizeRelH relativeFrom="margin">
              <wp14:pctWidth>0</wp14:pctWidth>
            </wp14:sizeRelH>
            <wp14:sizeRelV relativeFrom="margin">
              <wp14:pctHeight>0</wp14:pctHeight>
            </wp14:sizeRelV>
          </wp:anchor>
        </w:drawing>
      </w:r>
      <w:r w:rsidR="001A5560" w:rsidRPr="001A5560">
        <w:rPr>
          <w:rFonts w:asciiTheme="minorHAnsi" w:hAnsiTheme="minorHAnsi"/>
          <w:b/>
          <w:sz w:val="22"/>
          <w:lang w:val="da-DK"/>
        </w:rPr>
        <w:t>Figur 1</w:t>
      </w:r>
    </w:p>
    <w:p w14:paraId="24EEDCB8" w14:textId="641986F9" w:rsidR="007A6F3E"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Et købt renteloft eller et solgt rentegulv bliver hver for sig påvirket af forventninger til udsving i den variable rente. Dette kaldes også </w:t>
      </w:r>
      <w:proofErr w:type="spellStart"/>
      <w:r w:rsidRPr="008F26A5">
        <w:rPr>
          <w:rFonts w:asciiTheme="minorHAnsi" w:hAnsiTheme="minorHAnsi"/>
          <w:color w:val="808080" w:themeColor="background1" w:themeShade="80"/>
          <w:lang w:val="da-DK"/>
        </w:rPr>
        <w:t>rentevolatilitet</w:t>
      </w:r>
      <w:proofErr w:type="spellEnd"/>
      <w:r w:rsidRPr="008F26A5">
        <w:rPr>
          <w:rFonts w:asciiTheme="minorHAnsi" w:hAnsiTheme="minorHAnsi"/>
          <w:color w:val="808080" w:themeColor="background1" w:themeShade="80"/>
          <w:lang w:val="da-DK"/>
        </w:rPr>
        <w:t>. En stigning i rente</w:t>
      </w:r>
      <w:r w:rsidR="001118B2">
        <w:rPr>
          <w:rFonts w:asciiTheme="minorHAnsi" w:hAnsiTheme="minorHAnsi"/>
          <w:color w:val="808080" w:themeColor="background1" w:themeShade="80"/>
          <w:lang w:val="da-DK"/>
        </w:rPr>
        <w:t>-</w:t>
      </w:r>
      <w:proofErr w:type="spellStart"/>
      <w:r w:rsidRPr="008F26A5">
        <w:rPr>
          <w:rFonts w:asciiTheme="minorHAnsi" w:hAnsiTheme="minorHAnsi"/>
          <w:color w:val="808080" w:themeColor="background1" w:themeShade="80"/>
          <w:lang w:val="da-DK"/>
        </w:rPr>
        <w:t>volatiliteten</w:t>
      </w:r>
      <w:proofErr w:type="spellEnd"/>
      <w:r w:rsidRPr="008F26A5">
        <w:rPr>
          <w:rFonts w:asciiTheme="minorHAnsi" w:hAnsiTheme="minorHAnsi"/>
          <w:color w:val="808080" w:themeColor="background1" w:themeShade="80"/>
          <w:lang w:val="da-DK"/>
        </w:rPr>
        <w:t xml:space="preserve"> påvirker </w:t>
      </w:r>
      <w:proofErr w:type="spellStart"/>
      <w:r w:rsidRPr="008F26A5">
        <w:rPr>
          <w:rFonts w:asciiTheme="minorHAnsi" w:hAnsiTheme="minorHAnsi"/>
          <w:color w:val="808080" w:themeColor="background1" w:themeShade="80"/>
          <w:lang w:val="da-DK"/>
        </w:rPr>
        <w:t>markedsværdi</w:t>
      </w:r>
      <w:r w:rsidR="001118B2">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en</w:t>
      </w:r>
      <w:proofErr w:type="spellEnd"/>
      <w:r w:rsidRPr="008F26A5">
        <w:rPr>
          <w:rFonts w:asciiTheme="minorHAnsi" w:hAnsiTheme="minorHAnsi"/>
          <w:color w:val="808080" w:themeColor="background1" w:themeShade="80"/>
          <w:lang w:val="da-DK"/>
        </w:rPr>
        <w:t xml:space="preserve"> af et købt renteloft positivt og et solgt rentegulv negativt. Et fald i </w:t>
      </w:r>
      <w:proofErr w:type="spellStart"/>
      <w:r w:rsidRPr="008F26A5">
        <w:rPr>
          <w:rFonts w:asciiTheme="minorHAnsi" w:hAnsiTheme="minorHAnsi"/>
          <w:color w:val="808080" w:themeColor="background1" w:themeShade="80"/>
          <w:lang w:val="da-DK"/>
        </w:rPr>
        <w:t>rentevolatiliteten</w:t>
      </w:r>
      <w:proofErr w:type="spellEnd"/>
      <w:r w:rsidRPr="008F26A5">
        <w:rPr>
          <w:rFonts w:asciiTheme="minorHAnsi" w:hAnsiTheme="minorHAnsi"/>
          <w:color w:val="808080" w:themeColor="background1" w:themeShade="80"/>
          <w:lang w:val="da-DK"/>
        </w:rPr>
        <w:t xml:space="preserve"> påvirker </w:t>
      </w:r>
      <w:proofErr w:type="spellStart"/>
      <w:r w:rsidRPr="008F26A5">
        <w:rPr>
          <w:rFonts w:asciiTheme="minorHAnsi" w:hAnsiTheme="minorHAnsi"/>
          <w:color w:val="808080" w:themeColor="background1" w:themeShade="80"/>
          <w:lang w:val="da-DK"/>
        </w:rPr>
        <w:t>markeds</w:t>
      </w:r>
      <w:r w:rsidR="001118B2">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værdien</w:t>
      </w:r>
      <w:proofErr w:type="spellEnd"/>
      <w:r w:rsidRPr="008F26A5">
        <w:rPr>
          <w:rFonts w:asciiTheme="minorHAnsi" w:hAnsiTheme="minorHAnsi"/>
          <w:color w:val="808080" w:themeColor="background1" w:themeShade="80"/>
          <w:lang w:val="da-DK"/>
        </w:rPr>
        <w:t xml:space="preserve"> af renteloftet negativt og rentegulvet positivt. Rentekorridoren vil derfor være væsentligt mindre påvirkelig over for ændringer i </w:t>
      </w:r>
      <w:proofErr w:type="spellStart"/>
      <w:r w:rsidRPr="008F26A5">
        <w:rPr>
          <w:rFonts w:asciiTheme="minorHAnsi" w:hAnsiTheme="minorHAnsi"/>
          <w:color w:val="808080" w:themeColor="background1" w:themeShade="80"/>
          <w:lang w:val="da-DK"/>
        </w:rPr>
        <w:t>rentevolatiliteten</w:t>
      </w:r>
      <w:proofErr w:type="spellEnd"/>
      <w:r w:rsidRPr="008F26A5">
        <w:rPr>
          <w:rFonts w:asciiTheme="minorHAnsi" w:hAnsiTheme="minorHAnsi"/>
          <w:color w:val="808080" w:themeColor="background1" w:themeShade="80"/>
          <w:lang w:val="da-DK"/>
        </w:rPr>
        <w:t xml:space="preserve"> end renteloftet og gulvet hver for sig.</w:t>
      </w:r>
    </w:p>
    <w:p w14:paraId="450A5C00" w14:textId="397842D8" w:rsidR="00955891" w:rsidRDefault="00955891" w:rsidP="008F26A5">
      <w:pPr>
        <w:pStyle w:val="Brdtekst"/>
        <w:spacing w:line="244" w:lineRule="auto"/>
        <w:rPr>
          <w:rFonts w:asciiTheme="minorHAnsi" w:hAnsiTheme="minorHAnsi"/>
          <w:color w:val="808080" w:themeColor="background1" w:themeShade="80"/>
          <w:lang w:val="da-DK"/>
        </w:rPr>
      </w:pPr>
    </w:p>
    <w:p w14:paraId="660A0A15" w14:textId="24DB275D" w:rsidR="007A6F3E" w:rsidRPr="00CC2AB0" w:rsidRDefault="008F26A5" w:rsidP="007A6F3E">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Ramme</w:t>
      </w:r>
      <w:r w:rsidR="00AA656C">
        <w:rPr>
          <w:rFonts w:asciiTheme="minorHAnsi" w:eastAsia="Cambria" w:hAnsiTheme="minorHAnsi" w:cs="Cambria"/>
          <w:b/>
          <w:bCs/>
          <w:color w:val="000000" w:themeColor="text1"/>
          <w:lang w:val="da-DK"/>
        </w:rPr>
        <w:t>aftalen</w:t>
      </w:r>
    </w:p>
    <w:p w14:paraId="7C164A04" w14:textId="33A498B5" w:rsidR="00AA656C" w:rsidRPr="00AA656C" w:rsidRDefault="00AA656C" w:rsidP="00AA656C">
      <w:pPr>
        <w:pStyle w:val="Brdtekst"/>
        <w:spacing w:line="244" w:lineRule="auto"/>
        <w:rPr>
          <w:rFonts w:asciiTheme="minorHAnsi" w:hAnsiTheme="minorHAnsi"/>
          <w:color w:val="808080" w:themeColor="background1" w:themeShade="80"/>
          <w:lang w:val="da-DK"/>
        </w:rPr>
      </w:pPr>
      <w:r w:rsidRPr="00AA656C">
        <w:rPr>
          <w:rFonts w:asciiTheme="minorHAnsi" w:hAnsiTheme="minorHAnsi"/>
          <w:color w:val="808080" w:themeColor="background1" w:themeShade="80"/>
          <w:lang w:val="da-DK"/>
        </w:rPr>
        <w:t>I forbindelse med handel med finansielle instrumenter oprettes i pengeinstituttet en rammeaftale. Pengeinstituttet foretager derfor en kreditvurdering af dig som kunde. Kreditvurderingen afgør, om du kan indgå en rammeaftale om finansielle instrumenter og i hvilket omfang. Rammeaftalen definerer, hvilke produkter der kan handles, og angiver et maksimum for, hvor stor den negative markedsværdi af forret-</w:t>
      </w:r>
      <w:r w:rsidRPr="00AA656C">
        <w:rPr>
          <w:lang w:val="da-DK"/>
        </w:rPr>
        <w:t xml:space="preserve"> </w:t>
      </w:r>
      <w:proofErr w:type="spellStart"/>
      <w:r w:rsidRPr="00AA656C">
        <w:rPr>
          <w:rFonts w:asciiTheme="minorHAnsi" w:hAnsiTheme="minorHAnsi"/>
          <w:color w:val="808080" w:themeColor="background1" w:themeShade="80"/>
          <w:lang w:val="da-DK"/>
        </w:rPr>
        <w:t>ningerne</w:t>
      </w:r>
      <w:proofErr w:type="spellEnd"/>
      <w:r w:rsidRPr="00AA656C">
        <w:rPr>
          <w:rFonts w:asciiTheme="minorHAnsi" w:hAnsiTheme="minorHAnsi"/>
          <w:color w:val="808080" w:themeColor="background1" w:themeShade="80"/>
          <w:lang w:val="da-DK"/>
        </w:rPr>
        <w:t xml:space="preserve"> må blive. Markedsværdien vil ved indgåelsen være negativ.</w:t>
      </w:r>
    </w:p>
    <w:p w14:paraId="06A4605D" w14:textId="1ED48236" w:rsidR="00606F11" w:rsidRDefault="00AA656C" w:rsidP="00CC2AB0">
      <w:pPr>
        <w:pStyle w:val="Brdtekst"/>
        <w:spacing w:line="244" w:lineRule="auto"/>
        <w:rPr>
          <w:rFonts w:asciiTheme="minorHAnsi" w:hAnsiTheme="minorHAnsi"/>
          <w:color w:val="808080" w:themeColor="background1" w:themeShade="80"/>
          <w:lang w:val="da-DK"/>
        </w:rPr>
      </w:pPr>
      <w:r w:rsidRPr="00AA656C">
        <w:rPr>
          <w:rFonts w:asciiTheme="minorHAnsi" w:hAnsiTheme="minorHAnsi"/>
          <w:color w:val="808080" w:themeColor="background1" w:themeShade="80"/>
          <w:lang w:val="da-DK"/>
        </w:rPr>
        <w:t xml:space="preserve">Hvis </w:t>
      </w:r>
      <w:r w:rsidR="00480311">
        <w:rPr>
          <w:rFonts w:asciiTheme="minorHAnsi" w:hAnsiTheme="minorHAnsi"/>
          <w:color w:val="808080" w:themeColor="background1" w:themeShade="80"/>
          <w:lang w:val="da-DK"/>
        </w:rPr>
        <w:t>den negative markedsværdi overstiger rammens størrelse</w:t>
      </w:r>
      <w:r w:rsidRPr="00AA656C">
        <w:rPr>
          <w:rFonts w:asciiTheme="minorHAnsi" w:hAnsiTheme="minorHAnsi"/>
          <w:color w:val="808080" w:themeColor="background1" w:themeShade="80"/>
          <w:lang w:val="da-DK"/>
        </w:rPr>
        <w:t xml:space="preserve">, vil det oftest betyde, </w:t>
      </w:r>
      <w:r w:rsidR="00480311">
        <w:rPr>
          <w:rFonts w:asciiTheme="minorHAnsi" w:hAnsiTheme="minorHAnsi"/>
          <w:color w:val="808080" w:themeColor="background1" w:themeShade="80"/>
          <w:lang w:val="da-DK"/>
        </w:rPr>
        <w:t>at kunden skal stille supplerende sikkerhed med meget kort varsel. Overholdes dette ikke, kan aftalen anses for misligholdt, og pengeinstituttet kan vælge at lukke den indgåede forretning helt eller delvist.</w:t>
      </w:r>
    </w:p>
    <w:p w14:paraId="1AB189D5" w14:textId="2C7729CF" w:rsidR="00606F11" w:rsidRPr="007A6F3E" w:rsidRDefault="000C1CE0" w:rsidP="00CC2AB0">
      <w:pPr>
        <w:pStyle w:val="Brdtekst"/>
        <w:spacing w:line="244" w:lineRule="auto"/>
        <w:rPr>
          <w:rFonts w:asciiTheme="minorHAnsi" w:hAnsiTheme="minorHAnsi"/>
          <w:color w:val="808080" w:themeColor="background1" w:themeShade="80"/>
          <w:lang w:val="da-DK"/>
        </w:rPr>
      </w:pPr>
      <w:r>
        <w:rPr>
          <w:noProof/>
          <w:lang w:val="da-DK" w:eastAsia="da-DK"/>
        </w:rPr>
        <w:drawing>
          <wp:anchor distT="0" distB="0" distL="114300" distR="114300" simplePos="0" relativeHeight="251667456" behindDoc="0" locked="0" layoutInCell="1" allowOverlap="1" wp14:anchorId="6B8751C3" wp14:editId="78FE095B">
            <wp:simplePos x="0" y="0"/>
            <wp:positionH relativeFrom="column">
              <wp:posOffset>1875790</wp:posOffset>
            </wp:positionH>
            <wp:positionV relativeFrom="paragraph">
              <wp:posOffset>230505</wp:posOffset>
            </wp:positionV>
            <wp:extent cx="2735580" cy="2823210"/>
            <wp:effectExtent l="0" t="0" r="762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5580" cy="2823210"/>
                    </a:xfrm>
                    <a:prstGeom prst="rect">
                      <a:avLst/>
                    </a:prstGeom>
                  </pic:spPr>
                </pic:pic>
              </a:graphicData>
            </a:graphic>
            <wp14:sizeRelH relativeFrom="margin">
              <wp14:pctWidth>0</wp14:pctWidth>
            </wp14:sizeRelH>
            <wp14:sizeRelV relativeFrom="margin">
              <wp14:pctHeight>0</wp14:pctHeight>
            </wp14:sizeRelV>
          </wp:anchor>
        </w:drawing>
      </w:r>
    </w:p>
    <w:p w14:paraId="6DF04128" w14:textId="213FF49A" w:rsidR="008F26A5" w:rsidRDefault="008F26A5" w:rsidP="007A6F3E">
      <w:pPr>
        <w:pStyle w:val="Brdtekst"/>
        <w:spacing w:line="244" w:lineRule="auto"/>
        <w:rPr>
          <w:rFonts w:asciiTheme="minorHAnsi" w:eastAsia="Cambria" w:hAnsiTheme="minorHAnsi" w:cs="Cambria"/>
          <w:b/>
          <w:bCs/>
          <w:color w:val="000000" w:themeColor="text1"/>
          <w:lang w:val="da-DK"/>
        </w:rPr>
      </w:pPr>
      <w:r w:rsidRPr="008F26A5">
        <w:rPr>
          <w:rFonts w:asciiTheme="minorHAnsi" w:eastAsia="Cambria" w:hAnsiTheme="minorHAnsi" w:cs="Cambria"/>
          <w:b/>
          <w:bCs/>
          <w:color w:val="000000" w:themeColor="text1"/>
          <w:lang w:val="da-DK"/>
        </w:rPr>
        <w:t>Eksempel på anvendelse af en rentekorridor</w:t>
      </w:r>
    </w:p>
    <w:p w14:paraId="4DC5A4EE" w14:textId="2051ACE6"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En virksomhed har et variabelt forrentet lån (Cibor6M) på 10.000.000 danske kroner. De vil fortsat gerne nyde godt af den lave korte rente, men vil gerne sikre sig mod stigende renter. Virksomheden forventer ikke at den lave rente falder meget mere i forhold til det nuværende niveau og vil derfor frasælge muligheden for at kunne udnytte en faldende rente. </w:t>
      </w:r>
    </w:p>
    <w:p w14:paraId="325524AA" w14:textId="49A2E1E1"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076C5E4F" w14:textId="3E72A0D9"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 xml:space="preserve">Virksomheden køber derfor et renteloft på 4,00% p.a. og frasælger et gulv på 1,00% p.a. Den variable rente er sidst </w:t>
      </w:r>
      <w:r w:rsidR="00AC1BAC">
        <w:rPr>
          <w:rFonts w:asciiTheme="minorHAnsi" w:hAnsiTheme="minorHAnsi"/>
          <w:color w:val="808080" w:themeColor="background1" w:themeShade="80"/>
          <w:lang w:val="da-DK"/>
        </w:rPr>
        <w:t>fastsat</w:t>
      </w:r>
      <w:r w:rsidRPr="008F26A5">
        <w:rPr>
          <w:rFonts w:asciiTheme="minorHAnsi" w:hAnsiTheme="minorHAnsi"/>
          <w:color w:val="808080" w:themeColor="background1" w:themeShade="80"/>
          <w:lang w:val="da-DK"/>
        </w:rPr>
        <w:t xml:space="preserve"> </w:t>
      </w:r>
      <w:r w:rsidR="00AC1BAC">
        <w:rPr>
          <w:rFonts w:asciiTheme="minorHAnsi" w:hAnsiTheme="minorHAnsi"/>
          <w:color w:val="808080" w:themeColor="background1" w:themeShade="80"/>
          <w:lang w:val="da-DK"/>
        </w:rPr>
        <w:t>til</w:t>
      </w:r>
      <w:r w:rsidRPr="008F26A5">
        <w:rPr>
          <w:rFonts w:asciiTheme="minorHAnsi" w:hAnsiTheme="minorHAnsi"/>
          <w:color w:val="808080" w:themeColor="background1" w:themeShade="80"/>
          <w:lang w:val="da-DK"/>
        </w:rPr>
        <w:t xml:space="preserve"> 1,50% p.a. Den optionspræmie virksomheden skal betale for loftet er betalt af den optionspræmie, der modtages på rentegulvet. Aftalen løber i 3 år</w:t>
      </w:r>
      <w:r w:rsidR="00AC1BAC">
        <w:rPr>
          <w:rFonts w:asciiTheme="minorHAnsi" w:hAnsiTheme="minorHAnsi"/>
          <w:color w:val="808080" w:themeColor="background1" w:themeShade="80"/>
          <w:lang w:val="da-DK"/>
        </w:rPr>
        <w:t>,</w:t>
      </w:r>
      <w:r w:rsidRPr="008F26A5">
        <w:rPr>
          <w:rFonts w:asciiTheme="minorHAnsi" w:hAnsiTheme="minorHAnsi"/>
          <w:color w:val="808080" w:themeColor="background1" w:themeShade="80"/>
          <w:lang w:val="da-DK"/>
        </w:rPr>
        <w:t xml:space="preserve"> </w:t>
      </w:r>
      <w:r w:rsidR="00AC1BAC">
        <w:rPr>
          <w:rFonts w:asciiTheme="minorHAnsi" w:hAnsiTheme="minorHAnsi"/>
          <w:color w:val="808080" w:themeColor="background1" w:themeShade="80"/>
          <w:lang w:val="da-DK"/>
        </w:rPr>
        <w:t>og renten bliver fastsat halvårligt</w:t>
      </w:r>
      <w:r w:rsidRPr="008F26A5">
        <w:rPr>
          <w:rFonts w:asciiTheme="minorHAnsi" w:hAnsiTheme="minorHAnsi"/>
          <w:color w:val="808080" w:themeColor="background1" w:themeShade="80"/>
          <w:lang w:val="da-DK"/>
        </w:rPr>
        <w:t>.</w:t>
      </w:r>
    </w:p>
    <w:p w14:paraId="636ABA4A" w14:textId="77777777"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6B25B2B9" w14:textId="3B2E3C9A" w:rsidR="007A6F3E" w:rsidRPr="007A6F3E"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Anden gang renten bliver fastsat er den under 1,00% p.a. Virksomheden kommer derfor til at betale gulvet på 1,00% p.a. Terminen efter fastsættes renten til 2,00% p.a. og virksomheden kommer derfor til at betale renten på 2,00% p.a. De efterfølgende terminer i aftalens løbetid stiger renten over 4,00% p.a. Virksomheden kan derfor udnytte loftet indtil renten igen fastsættes under loftet. Herefter vil de igen skulle betale den aktuelle variable rente eller rentegulvet. Se figur 2.</w:t>
      </w:r>
      <w:r w:rsidR="007A6F3E" w:rsidRPr="007A6F3E">
        <w:rPr>
          <w:rFonts w:asciiTheme="minorHAnsi" w:hAnsiTheme="minorHAnsi"/>
          <w:color w:val="808080" w:themeColor="background1" w:themeShade="80"/>
          <w:lang w:val="da-DK"/>
        </w:rPr>
        <w:t xml:space="preserve"> </w:t>
      </w:r>
    </w:p>
    <w:p w14:paraId="2046503B" w14:textId="7DEAEF86" w:rsidR="007A6F3E" w:rsidRPr="007A6F3E" w:rsidRDefault="007A6F3E" w:rsidP="007A6F3E">
      <w:pPr>
        <w:pStyle w:val="Brdtekst"/>
        <w:spacing w:line="244" w:lineRule="auto"/>
        <w:rPr>
          <w:rFonts w:asciiTheme="minorHAnsi" w:hAnsiTheme="minorHAnsi"/>
          <w:color w:val="808080" w:themeColor="background1" w:themeShade="80"/>
          <w:lang w:val="da-DK"/>
        </w:rPr>
      </w:pPr>
    </w:p>
    <w:p w14:paraId="5B5FCC6E" w14:textId="77777777" w:rsidR="001118B2" w:rsidRDefault="001118B2" w:rsidP="007A6F3E">
      <w:pPr>
        <w:pStyle w:val="Brdtekst"/>
        <w:spacing w:line="244" w:lineRule="auto"/>
        <w:rPr>
          <w:rFonts w:asciiTheme="minorHAnsi" w:eastAsia="Cambria" w:hAnsiTheme="minorHAnsi" w:cs="Cambria"/>
          <w:b/>
          <w:bCs/>
          <w:color w:val="000000" w:themeColor="text1"/>
          <w:lang w:val="da-DK"/>
        </w:rPr>
      </w:pPr>
    </w:p>
    <w:p w14:paraId="6968BF23" w14:textId="56FFC00A" w:rsidR="000C1CE0" w:rsidRPr="001A5560" w:rsidRDefault="000C1CE0" w:rsidP="000C1CE0">
      <w:pPr>
        <w:pStyle w:val="Brdtekst"/>
        <w:spacing w:line="244" w:lineRule="auto"/>
        <w:ind w:left="-284"/>
        <w:rPr>
          <w:rFonts w:asciiTheme="minorHAnsi" w:hAnsiTheme="minorHAnsi"/>
          <w:b/>
          <w:sz w:val="22"/>
          <w:lang w:val="da-DK"/>
        </w:rPr>
      </w:pPr>
      <w:r w:rsidRPr="001A5560">
        <w:rPr>
          <w:rFonts w:asciiTheme="minorHAnsi" w:hAnsiTheme="minorHAnsi"/>
          <w:b/>
          <w:sz w:val="22"/>
          <w:lang w:val="da-DK"/>
        </w:rPr>
        <w:t>Figur 2</w:t>
      </w:r>
    </w:p>
    <w:p w14:paraId="544E2871" w14:textId="29066907" w:rsidR="000C1CE0" w:rsidRDefault="000C1CE0" w:rsidP="007A6F3E">
      <w:pPr>
        <w:pStyle w:val="Brdtekst"/>
        <w:spacing w:line="244" w:lineRule="auto"/>
        <w:rPr>
          <w:rFonts w:asciiTheme="minorHAnsi" w:eastAsia="Cambria" w:hAnsiTheme="minorHAnsi" w:cs="Cambria"/>
          <w:b/>
          <w:bCs/>
          <w:color w:val="000000" w:themeColor="text1"/>
          <w:lang w:val="da-DK"/>
        </w:rPr>
      </w:pPr>
    </w:p>
    <w:p w14:paraId="4480A600" w14:textId="47873854" w:rsidR="007A6F3E" w:rsidRPr="00CC2AB0" w:rsidRDefault="008F26A5" w:rsidP="007A6F3E">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Omkostninger</w:t>
      </w:r>
    </w:p>
    <w:p w14:paraId="4E276AC1" w14:textId="50CD5DD1" w:rsidR="008F26A5" w:rsidRPr="008F26A5"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Når du handler en rentekorridor, betaler du en marginal, der dækker pengeinstituttets forventede omkostninger.</w:t>
      </w:r>
    </w:p>
    <w:p w14:paraId="59374B9F" w14:textId="1250B55E" w:rsidR="008F26A5" w:rsidRPr="008F26A5" w:rsidRDefault="008F26A5" w:rsidP="008F26A5">
      <w:pPr>
        <w:pStyle w:val="Brdtekst"/>
        <w:spacing w:line="244" w:lineRule="auto"/>
        <w:rPr>
          <w:rFonts w:asciiTheme="minorHAnsi" w:hAnsiTheme="minorHAnsi"/>
          <w:color w:val="808080" w:themeColor="background1" w:themeShade="80"/>
          <w:lang w:val="da-DK"/>
        </w:rPr>
      </w:pPr>
    </w:p>
    <w:p w14:paraId="2F4DF875" w14:textId="0235A551" w:rsidR="00796F07" w:rsidRDefault="008F26A5" w:rsidP="008F26A5">
      <w:pPr>
        <w:pStyle w:val="Brdtekst"/>
        <w:spacing w:line="244" w:lineRule="auto"/>
        <w:rPr>
          <w:rFonts w:asciiTheme="minorHAnsi" w:hAnsiTheme="minorHAnsi"/>
          <w:color w:val="808080" w:themeColor="background1" w:themeShade="80"/>
          <w:lang w:val="da-DK"/>
        </w:rPr>
      </w:pPr>
      <w:r w:rsidRPr="008F26A5">
        <w:rPr>
          <w:rFonts w:asciiTheme="minorHAnsi" w:hAnsiTheme="minorHAnsi"/>
          <w:color w:val="808080" w:themeColor="background1" w:themeShade="80"/>
          <w:lang w:val="da-DK"/>
        </w:rPr>
        <w:t>Marginalen fastsættes individuelt. Marginalen vil umiddelbart efter, at kontrakten er blevet indgået, fremgå som en negativ markedsværdi og er et udtryk for den samlede værdi af marginalen i hele løbetiden. Hvis aftalen bliver lukket før tid, vil markedsværdien indeholde værdien af marginalen for den resterende løbetid.</w:t>
      </w:r>
    </w:p>
    <w:p w14:paraId="1CD08E15" w14:textId="49D427CF" w:rsidR="001A5560" w:rsidRDefault="001A5560" w:rsidP="008F26A5">
      <w:pPr>
        <w:pStyle w:val="Brdtekst"/>
        <w:spacing w:line="244" w:lineRule="auto"/>
        <w:rPr>
          <w:rFonts w:asciiTheme="minorHAnsi" w:hAnsiTheme="minorHAnsi"/>
          <w:color w:val="808080" w:themeColor="background1" w:themeShade="80"/>
          <w:lang w:val="da-DK"/>
        </w:rPr>
      </w:pPr>
    </w:p>
    <w:p w14:paraId="18626CD8" w14:textId="04B18CE3" w:rsidR="007A6F3E" w:rsidRPr="008F26A5" w:rsidRDefault="008F26A5" w:rsidP="007A6F3E">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Skat</w:t>
      </w:r>
    </w:p>
    <w:p w14:paraId="46EDD930" w14:textId="2CE8F69C" w:rsidR="006B42FC" w:rsidRPr="006B42FC" w:rsidRDefault="006B42FC" w:rsidP="006B42FC">
      <w:pPr>
        <w:pStyle w:val="Brdtekst"/>
        <w:spacing w:line="244" w:lineRule="auto"/>
        <w:rPr>
          <w:rFonts w:asciiTheme="minorHAnsi" w:hAnsiTheme="minorHAnsi"/>
          <w:color w:val="808080" w:themeColor="background1" w:themeShade="80"/>
          <w:lang w:val="da-DK"/>
        </w:rPr>
      </w:pPr>
      <w:r w:rsidRPr="006B42FC">
        <w:rPr>
          <w:rFonts w:asciiTheme="minorHAnsi" w:hAnsiTheme="minorHAnsi"/>
          <w:color w:val="808080" w:themeColor="background1" w:themeShade="80"/>
          <w:lang w:val="da-DK"/>
        </w:rPr>
        <w:t>Afledte finansielle instrumenter beskattes som hovedregel efter kursgevinstlovens regler om finansielle kontrakter.</w:t>
      </w:r>
    </w:p>
    <w:p w14:paraId="2DB1E18D" w14:textId="44215084" w:rsidR="006B42FC" w:rsidRPr="006B42FC" w:rsidRDefault="006B42FC" w:rsidP="006B42FC">
      <w:pPr>
        <w:pStyle w:val="Brdtekst"/>
        <w:spacing w:line="244" w:lineRule="auto"/>
        <w:rPr>
          <w:rFonts w:asciiTheme="minorHAnsi" w:hAnsiTheme="minorHAnsi"/>
          <w:color w:val="808080" w:themeColor="background1" w:themeShade="80"/>
          <w:lang w:val="da-DK"/>
        </w:rPr>
      </w:pPr>
      <w:r w:rsidRPr="006B42FC">
        <w:rPr>
          <w:rFonts w:asciiTheme="minorHAnsi" w:hAnsiTheme="minorHAnsi"/>
          <w:color w:val="808080" w:themeColor="background1" w:themeShade="80"/>
          <w:lang w:val="da-DK"/>
        </w:rPr>
        <w:t>Det betyder, at summen af kontraktens (i) værdiudvikling og (ii) nettobetalinger for indkomståret, beskattes løbende efter et lagerprincip, og dermed fra år til år kan give positiv eller negativ likviditetspåvirkning.</w:t>
      </w:r>
    </w:p>
    <w:p w14:paraId="1C26B345" w14:textId="77777777" w:rsidR="006B42FC" w:rsidRPr="006B42FC" w:rsidRDefault="006B42FC" w:rsidP="006B42FC">
      <w:pPr>
        <w:pStyle w:val="Brdtekst"/>
        <w:spacing w:line="244" w:lineRule="auto"/>
        <w:rPr>
          <w:rFonts w:asciiTheme="minorHAnsi" w:hAnsiTheme="minorHAnsi"/>
          <w:color w:val="808080" w:themeColor="background1" w:themeShade="80"/>
          <w:lang w:val="da-DK"/>
        </w:rPr>
      </w:pPr>
    </w:p>
    <w:p w14:paraId="4956E284" w14:textId="77777777" w:rsidR="00CC2C3A" w:rsidRDefault="006B42FC" w:rsidP="006B42FC">
      <w:pPr>
        <w:pStyle w:val="Brdtekst"/>
        <w:spacing w:line="244" w:lineRule="auto"/>
        <w:rPr>
          <w:rFonts w:asciiTheme="minorHAnsi" w:hAnsiTheme="minorHAnsi"/>
          <w:color w:val="808080" w:themeColor="background1" w:themeShade="80"/>
          <w:lang w:val="da-DK"/>
        </w:rPr>
        <w:sectPr w:rsidR="00CC2C3A" w:rsidSect="005B54B8">
          <w:type w:val="continuous"/>
          <w:pgSz w:w="11906" w:h="16838"/>
          <w:pgMar w:top="1701" w:right="1134" w:bottom="1701" w:left="1134" w:header="708" w:footer="708" w:gutter="0"/>
          <w:cols w:num="3" w:space="708"/>
          <w:docGrid w:linePitch="360"/>
        </w:sectPr>
      </w:pPr>
      <w:r w:rsidRPr="006B42FC">
        <w:rPr>
          <w:rFonts w:asciiTheme="minorHAnsi" w:hAnsiTheme="minorHAnsi"/>
          <w:color w:val="808080" w:themeColor="background1" w:themeShade="80"/>
          <w:lang w:val="da-DK"/>
        </w:rPr>
        <w:t xml:space="preserve">For personer indgår gevinster i kapitalindkomsten, mens tab kan fradrages eller fremføres efter særlige regler. Hvis det finansielle instrument har tilknytning til erhvervsmæssig virksomhed, er der fradrag for tab, i nogle tilfælde </w:t>
      </w:r>
    </w:p>
    <w:p w14:paraId="13B817C4" w14:textId="1A51A5EB" w:rsidR="006B42FC" w:rsidRPr="006B42FC" w:rsidRDefault="006B42FC" w:rsidP="006B42FC">
      <w:pPr>
        <w:pStyle w:val="Brdtekst"/>
        <w:spacing w:line="244" w:lineRule="auto"/>
        <w:rPr>
          <w:rFonts w:asciiTheme="minorHAnsi" w:hAnsiTheme="minorHAnsi"/>
          <w:color w:val="808080" w:themeColor="background1" w:themeShade="80"/>
          <w:lang w:val="da-DK"/>
        </w:rPr>
      </w:pPr>
      <w:r w:rsidRPr="006B42FC">
        <w:rPr>
          <w:rFonts w:asciiTheme="minorHAnsi" w:hAnsiTheme="minorHAnsi"/>
          <w:color w:val="808080" w:themeColor="background1" w:themeShade="80"/>
          <w:lang w:val="da-DK"/>
        </w:rPr>
        <w:lastRenderedPageBreak/>
        <w:t xml:space="preserve">begrænset fradrag. Pengeinstituttet tager ikke ansvar for, om afledte finansielle instrumenter har erhvervsmæssig tilknytning. </w:t>
      </w:r>
    </w:p>
    <w:p w14:paraId="18746870" w14:textId="5D3413CD" w:rsidR="006B42FC" w:rsidRPr="006B42FC" w:rsidRDefault="006B42FC" w:rsidP="006B42FC">
      <w:pPr>
        <w:pStyle w:val="Brdtekst"/>
        <w:spacing w:line="244" w:lineRule="auto"/>
        <w:rPr>
          <w:rFonts w:asciiTheme="minorHAnsi" w:hAnsiTheme="minorHAnsi"/>
          <w:color w:val="808080" w:themeColor="background1" w:themeShade="80"/>
          <w:lang w:val="da-DK"/>
        </w:rPr>
      </w:pPr>
    </w:p>
    <w:p w14:paraId="2314D28D" w14:textId="09D2421F" w:rsidR="007A6F3E" w:rsidRDefault="006B42FC" w:rsidP="00CC2C3A">
      <w:pPr>
        <w:pStyle w:val="Brdtekst"/>
        <w:spacing w:line="244" w:lineRule="auto"/>
        <w:rPr>
          <w:rFonts w:asciiTheme="minorHAnsi" w:hAnsiTheme="minorHAnsi"/>
          <w:color w:val="808080" w:themeColor="background1" w:themeShade="80"/>
          <w:lang w:val="da-DK"/>
        </w:rPr>
      </w:pPr>
      <w:r w:rsidRPr="006B42FC">
        <w:rPr>
          <w:rFonts w:asciiTheme="minorHAnsi" w:hAnsiTheme="minorHAnsi"/>
          <w:color w:val="808080" w:themeColor="background1" w:themeShade="80"/>
          <w:lang w:val="da-DK"/>
        </w:rPr>
        <w:t xml:space="preserve">Den skattemæssige behandling kan variere og ændre sig afhængig af </w:t>
      </w:r>
    </w:p>
    <w:p w14:paraId="6F905CBC" w14:textId="43DC2B1A" w:rsidR="006F737A" w:rsidRDefault="006F737A" w:rsidP="006F737A">
      <w:pPr>
        <w:pStyle w:val="Brdtekst"/>
        <w:spacing w:line="244" w:lineRule="auto"/>
        <w:rPr>
          <w:rFonts w:asciiTheme="minorHAnsi" w:hAnsiTheme="minorHAnsi"/>
          <w:color w:val="808080" w:themeColor="background1" w:themeShade="80"/>
          <w:lang w:val="da-DK"/>
        </w:rPr>
      </w:pPr>
      <w:r>
        <w:rPr>
          <w:rFonts w:asciiTheme="minorHAnsi" w:hAnsiTheme="minorHAnsi"/>
          <w:color w:val="808080" w:themeColor="background1" w:themeShade="80"/>
          <w:lang w:val="da-DK"/>
        </w:rPr>
        <w:t xml:space="preserve"> </w:t>
      </w:r>
    </w:p>
    <w:p w14:paraId="1042858C" w14:textId="77777777" w:rsidR="006F737A" w:rsidRPr="00E3140B" w:rsidRDefault="006F737A" w:rsidP="00E3140B">
      <w:pPr>
        <w:pStyle w:val="Brdtekst"/>
        <w:spacing w:line="244" w:lineRule="auto"/>
        <w:rPr>
          <w:rFonts w:asciiTheme="minorHAnsi" w:hAnsiTheme="minorHAnsi"/>
          <w:color w:val="808080" w:themeColor="background1" w:themeShade="80"/>
          <w:lang w:val="da-DK"/>
        </w:rPr>
      </w:pPr>
    </w:p>
    <w:p w14:paraId="6309F90A" w14:textId="77777777" w:rsidR="00E3140B" w:rsidRPr="00E23F6E" w:rsidRDefault="00E3140B" w:rsidP="00AD6607">
      <w:pPr>
        <w:pStyle w:val="Brdtekst"/>
        <w:spacing w:line="244" w:lineRule="auto"/>
        <w:rPr>
          <w:rFonts w:asciiTheme="minorHAnsi" w:hAnsiTheme="minorHAnsi"/>
          <w:color w:val="808080" w:themeColor="background1" w:themeShade="80"/>
          <w:lang w:val="da-DK"/>
        </w:rPr>
      </w:pPr>
    </w:p>
    <w:p w14:paraId="10A3E2C8" w14:textId="001CF7EB" w:rsidR="00142D8E" w:rsidRPr="00AD6607" w:rsidRDefault="00142D8E" w:rsidP="00AD6607">
      <w:pPr>
        <w:pStyle w:val="Brdtekst"/>
        <w:spacing w:line="244" w:lineRule="auto"/>
        <w:rPr>
          <w:rFonts w:asciiTheme="minorHAnsi" w:hAnsiTheme="minorHAnsi"/>
          <w:color w:val="808080" w:themeColor="background1" w:themeShade="80"/>
          <w:lang w:val="da-DK"/>
        </w:rPr>
      </w:pPr>
    </w:p>
    <w:p w14:paraId="7A3FC694" w14:textId="160EF628" w:rsidR="00057B4B" w:rsidRPr="006133A9" w:rsidRDefault="00057B4B" w:rsidP="00AD6607">
      <w:pPr>
        <w:pStyle w:val="Brdtekst"/>
        <w:spacing w:line="244" w:lineRule="auto"/>
        <w:rPr>
          <w:rFonts w:asciiTheme="minorHAnsi" w:hAnsiTheme="minorHAnsi"/>
          <w:color w:val="808080" w:themeColor="background1" w:themeShade="80"/>
          <w:lang w:val="da-DK"/>
        </w:rPr>
      </w:pPr>
    </w:p>
    <w:p w14:paraId="7BB2173E" w14:textId="7FF27A56" w:rsidR="006133A9" w:rsidRPr="006133A9" w:rsidRDefault="006133A9" w:rsidP="006133A9">
      <w:pPr>
        <w:pStyle w:val="Brdtekst"/>
        <w:spacing w:line="244" w:lineRule="auto"/>
        <w:rPr>
          <w:rFonts w:asciiTheme="minorHAnsi" w:hAnsiTheme="minorHAnsi"/>
          <w:color w:val="808080" w:themeColor="background1" w:themeShade="80"/>
          <w:lang w:val="da-DK"/>
        </w:rPr>
      </w:pPr>
    </w:p>
    <w:p w14:paraId="7A32B2E9" w14:textId="5EB91CDD" w:rsidR="00CB5FC1" w:rsidRPr="00CB5FC1" w:rsidRDefault="00CB5FC1" w:rsidP="00CB5FC1">
      <w:pPr>
        <w:pStyle w:val="Brdtekst"/>
        <w:spacing w:line="244" w:lineRule="auto"/>
        <w:rPr>
          <w:rFonts w:asciiTheme="minorHAnsi" w:hAnsiTheme="minorHAnsi"/>
          <w:color w:val="808080" w:themeColor="background1" w:themeShade="80"/>
          <w:lang w:val="da-DK"/>
        </w:rPr>
      </w:pPr>
    </w:p>
    <w:p w14:paraId="06068B8F" w14:textId="77777777" w:rsidR="00CB5FC1" w:rsidRDefault="00CB5FC1" w:rsidP="00CB5FC1">
      <w:pPr>
        <w:pStyle w:val="Overskrift1"/>
        <w:spacing w:before="91"/>
        <w:ind w:left="0"/>
        <w:rPr>
          <w:rFonts w:asciiTheme="minorHAnsi" w:hAnsiTheme="minorHAnsi"/>
          <w:color w:val="000000" w:themeColor="text1"/>
          <w:lang w:val="da-DK"/>
        </w:rPr>
      </w:pPr>
    </w:p>
    <w:p w14:paraId="4424AA9E" w14:textId="77777777" w:rsidR="005B54B8" w:rsidRPr="00971A87" w:rsidRDefault="005B54B8" w:rsidP="00971A87">
      <w:pPr>
        <w:pStyle w:val="Brdtekst"/>
        <w:spacing w:before="11"/>
        <w:rPr>
          <w:rFonts w:asciiTheme="minorHAnsi" w:hAnsiTheme="minorHAnsi"/>
          <w:color w:val="808080" w:themeColor="background1" w:themeShade="80"/>
          <w:lang w:val="da-DK"/>
        </w:rPr>
      </w:pPr>
    </w:p>
    <w:p w14:paraId="4DB235AE" w14:textId="77777777" w:rsidR="004B28D5" w:rsidRPr="00971A87" w:rsidRDefault="004B28D5" w:rsidP="004B28D5">
      <w:pPr>
        <w:spacing w:after="0" w:line="240" w:lineRule="auto"/>
        <w:rPr>
          <w:color w:val="808080" w:themeColor="background1" w:themeShade="80"/>
        </w:rPr>
      </w:pPr>
    </w:p>
    <w:p w14:paraId="48C23C96" w14:textId="77777777" w:rsidR="004B28D5" w:rsidRPr="00971A87" w:rsidRDefault="004B28D5" w:rsidP="004B28D5">
      <w:pPr>
        <w:spacing w:after="0" w:line="240" w:lineRule="auto"/>
        <w:rPr>
          <w:color w:val="808080" w:themeColor="background1" w:themeShade="80"/>
        </w:rPr>
      </w:pPr>
    </w:p>
    <w:p w14:paraId="5E9B214E" w14:textId="77777777" w:rsidR="004B28D5" w:rsidRPr="00971A87" w:rsidRDefault="004B28D5" w:rsidP="004B28D5">
      <w:pPr>
        <w:spacing w:after="0" w:line="240" w:lineRule="auto"/>
        <w:rPr>
          <w:color w:val="808080" w:themeColor="background1" w:themeShade="80"/>
        </w:rPr>
        <w:sectPr w:rsidR="004B28D5" w:rsidRPr="00971A87" w:rsidSect="00CC2C3A">
          <w:type w:val="continuous"/>
          <w:pgSz w:w="11906" w:h="16838"/>
          <w:pgMar w:top="1701" w:right="1134" w:bottom="1701" w:left="1134" w:header="708" w:footer="708" w:gutter="0"/>
          <w:cols w:num="3" w:space="708"/>
          <w:docGrid w:linePitch="360"/>
        </w:sectPr>
      </w:pPr>
    </w:p>
    <w:p w14:paraId="0C513D77" w14:textId="0DBA558B" w:rsidR="001A5560" w:rsidRPr="00CC2C3A" w:rsidRDefault="00CC2C3A" w:rsidP="00CC2C3A">
      <w:pPr>
        <w:spacing w:after="0" w:line="240" w:lineRule="auto"/>
        <w:rPr>
          <w:rFonts w:eastAsia="FoundryFormSans-Book" w:cs="FoundryFormSans-Book"/>
          <w:color w:val="808080" w:themeColor="background1" w:themeShade="80"/>
          <w:sz w:val="18"/>
          <w:szCs w:val="18"/>
        </w:rPr>
      </w:pPr>
      <w:r w:rsidRPr="00CC2C3A">
        <w:rPr>
          <w:rFonts w:eastAsia="FoundryFormSans-Book" w:cs="FoundryFormSans-Book"/>
          <w:color w:val="808080" w:themeColor="background1" w:themeShade="80"/>
          <w:sz w:val="18"/>
          <w:szCs w:val="18"/>
        </w:rPr>
        <w:t>dine skattemæssige forhold, eller som følge af ændrede regler for</w:t>
      </w:r>
    </w:p>
    <w:p w14:paraId="5A2B4760" w14:textId="77777777" w:rsidR="00CC2C3A" w:rsidRDefault="00CC2C3A" w:rsidP="00CC2C3A">
      <w:pPr>
        <w:pStyle w:val="Brdtekst"/>
        <w:spacing w:line="244" w:lineRule="auto"/>
        <w:rPr>
          <w:rFonts w:asciiTheme="minorHAnsi" w:hAnsiTheme="minorHAnsi"/>
          <w:color w:val="808080" w:themeColor="background1" w:themeShade="80"/>
          <w:lang w:val="da-DK"/>
        </w:rPr>
      </w:pPr>
      <w:r w:rsidRPr="006B42FC">
        <w:rPr>
          <w:rFonts w:asciiTheme="minorHAnsi" w:hAnsiTheme="minorHAnsi"/>
          <w:color w:val="808080" w:themeColor="background1" w:themeShade="80"/>
          <w:lang w:val="da-DK"/>
        </w:rPr>
        <w:t xml:space="preserve">beskatning. Vi anbefaler, at du </w:t>
      </w:r>
    </w:p>
    <w:p w14:paraId="495E0D8F" w14:textId="77777777" w:rsidR="00CC2C3A" w:rsidRDefault="00CC2C3A" w:rsidP="00CC2C3A">
      <w:pPr>
        <w:pStyle w:val="Brdtekst"/>
        <w:spacing w:line="244" w:lineRule="auto"/>
        <w:rPr>
          <w:rFonts w:asciiTheme="minorHAnsi" w:hAnsiTheme="minorHAnsi"/>
          <w:color w:val="808080" w:themeColor="background1" w:themeShade="80"/>
          <w:lang w:val="da-DK"/>
        </w:rPr>
      </w:pPr>
      <w:r w:rsidRPr="006B42FC">
        <w:rPr>
          <w:rFonts w:asciiTheme="minorHAnsi" w:hAnsiTheme="minorHAnsi"/>
          <w:color w:val="808080" w:themeColor="background1" w:themeShade="80"/>
          <w:lang w:val="da-DK"/>
        </w:rPr>
        <w:t>kontakter en rådgiver om skattemæssige konsekvenser forud for indgåelse af finansielle kontrakter.</w:t>
      </w:r>
    </w:p>
    <w:p w14:paraId="4A81BBA2" w14:textId="56197EE8" w:rsidR="00CC2C3A" w:rsidRDefault="00CC2C3A" w:rsidP="004B28D5">
      <w:pPr>
        <w:spacing w:after="0" w:line="240" w:lineRule="auto"/>
        <w:rPr>
          <w:rFonts w:eastAsia="FoundryFormSans-Book" w:cs="FoundryFormSans-Book"/>
          <w:color w:val="808080" w:themeColor="background1" w:themeShade="80"/>
          <w:sz w:val="18"/>
          <w:szCs w:val="18"/>
        </w:rPr>
      </w:pPr>
    </w:p>
    <w:p w14:paraId="2B265BF4" w14:textId="79A27907" w:rsidR="00CC2C3A" w:rsidRDefault="00CC2C3A" w:rsidP="004B28D5">
      <w:pPr>
        <w:spacing w:after="0" w:line="240" w:lineRule="auto"/>
        <w:rPr>
          <w:rFonts w:eastAsia="FoundryFormSans-Book" w:cs="FoundryFormSans-Book"/>
          <w:color w:val="808080" w:themeColor="background1" w:themeShade="80"/>
          <w:sz w:val="18"/>
          <w:szCs w:val="18"/>
        </w:rPr>
      </w:pPr>
    </w:p>
    <w:p w14:paraId="6909F621" w14:textId="3E34421B" w:rsidR="00CC2C3A" w:rsidRDefault="00CC2C3A" w:rsidP="004B28D5">
      <w:pPr>
        <w:spacing w:after="0" w:line="240" w:lineRule="auto"/>
        <w:rPr>
          <w:rFonts w:eastAsia="FoundryFormSans-Book" w:cs="FoundryFormSans-Book"/>
          <w:color w:val="808080" w:themeColor="background1" w:themeShade="80"/>
          <w:sz w:val="18"/>
          <w:szCs w:val="18"/>
        </w:rPr>
      </w:pPr>
    </w:p>
    <w:p w14:paraId="75D8D1C8" w14:textId="19F4ECE8" w:rsidR="00CC2C3A" w:rsidRDefault="00CC2C3A" w:rsidP="004B28D5">
      <w:pPr>
        <w:spacing w:after="0" w:line="240" w:lineRule="auto"/>
        <w:rPr>
          <w:rFonts w:eastAsia="FoundryFormSans-Book" w:cs="FoundryFormSans-Book"/>
          <w:color w:val="808080" w:themeColor="background1" w:themeShade="80"/>
          <w:sz w:val="18"/>
          <w:szCs w:val="18"/>
        </w:rPr>
      </w:pPr>
    </w:p>
    <w:p w14:paraId="64312E83" w14:textId="4DD23433" w:rsidR="00CC2C3A" w:rsidRDefault="00CC2C3A" w:rsidP="004B28D5">
      <w:pPr>
        <w:spacing w:after="0" w:line="240" w:lineRule="auto"/>
        <w:rPr>
          <w:rFonts w:eastAsia="FoundryFormSans-Book" w:cs="FoundryFormSans-Book"/>
          <w:color w:val="808080" w:themeColor="background1" w:themeShade="80"/>
          <w:sz w:val="18"/>
          <w:szCs w:val="18"/>
        </w:rPr>
      </w:pPr>
    </w:p>
    <w:p w14:paraId="142975DA" w14:textId="159AE033" w:rsidR="00CC2C3A" w:rsidRDefault="00CC2C3A" w:rsidP="004B28D5">
      <w:pPr>
        <w:spacing w:after="0" w:line="240" w:lineRule="auto"/>
        <w:rPr>
          <w:rFonts w:eastAsia="FoundryFormSans-Book" w:cs="FoundryFormSans-Book"/>
          <w:color w:val="808080" w:themeColor="background1" w:themeShade="80"/>
          <w:sz w:val="18"/>
          <w:szCs w:val="18"/>
        </w:rPr>
      </w:pPr>
    </w:p>
    <w:p w14:paraId="7197BA40" w14:textId="64D10C27" w:rsidR="00CC2C3A" w:rsidRDefault="00CC2C3A" w:rsidP="004B28D5">
      <w:pPr>
        <w:spacing w:after="0" w:line="240" w:lineRule="auto"/>
        <w:rPr>
          <w:rFonts w:eastAsia="FoundryFormSans-Book" w:cs="FoundryFormSans-Book"/>
          <w:color w:val="808080" w:themeColor="background1" w:themeShade="80"/>
          <w:sz w:val="18"/>
          <w:szCs w:val="18"/>
        </w:rPr>
      </w:pPr>
    </w:p>
    <w:p w14:paraId="42CC2B61" w14:textId="77777777" w:rsidR="00CC2C3A" w:rsidRPr="00CC2C3A" w:rsidRDefault="00CC2C3A" w:rsidP="004B28D5">
      <w:pPr>
        <w:spacing w:after="0" w:line="240" w:lineRule="auto"/>
        <w:rPr>
          <w:rFonts w:eastAsia="FoundryFormSans-Book" w:cs="FoundryFormSans-Book"/>
          <w:color w:val="808080" w:themeColor="background1" w:themeShade="80"/>
          <w:sz w:val="18"/>
          <w:szCs w:val="18"/>
        </w:rPr>
      </w:pPr>
    </w:p>
    <w:p w14:paraId="4740401C" w14:textId="06E84AD1" w:rsidR="00CC2C3A" w:rsidRPr="00CC2C3A" w:rsidRDefault="00CC2C3A" w:rsidP="004B28D5">
      <w:pPr>
        <w:spacing w:after="0" w:line="240" w:lineRule="auto"/>
        <w:rPr>
          <w:rFonts w:eastAsia="FoundryFormSans-Book" w:cs="FoundryFormSans-Book"/>
          <w:color w:val="808080" w:themeColor="background1" w:themeShade="80"/>
          <w:sz w:val="18"/>
          <w:szCs w:val="18"/>
        </w:rPr>
      </w:pPr>
    </w:p>
    <w:p w14:paraId="188AE2D5" w14:textId="232CD3FB" w:rsidR="00CC2C3A" w:rsidRPr="00CC2C3A" w:rsidRDefault="00CC2C3A" w:rsidP="004B28D5">
      <w:pPr>
        <w:spacing w:after="0" w:line="240" w:lineRule="auto"/>
        <w:rPr>
          <w:rFonts w:eastAsia="FoundryFormSans-Book" w:cs="FoundryFormSans-Book"/>
          <w:color w:val="808080" w:themeColor="background1" w:themeShade="80"/>
          <w:sz w:val="18"/>
          <w:szCs w:val="18"/>
        </w:rPr>
      </w:pPr>
    </w:p>
    <w:p w14:paraId="09CD0C6B" w14:textId="1A621C3F" w:rsidR="00CC2C3A" w:rsidRPr="00CC2C3A" w:rsidRDefault="00CC2C3A" w:rsidP="004B28D5">
      <w:pPr>
        <w:spacing w:after="0" w:line="240" w:lineRule="auto"/>
        <w:rPr>
          <w:rFonts w:eastAsia="FoundryFormSans-Book" w:cs="FoundryFormSans-Book"/>
          <w:color w:val="808080" w:themeColor="background1" w:themeShade="80"/>
          <w:sz w:val="18"/>
          <w:szCs w:val="18"/>
        </w:rPr>
      </w:pPr>
    </w:p>
    <w:p w14:paraId="40E25947" w14:textId="4687E211" w:rsidR="00CC2C3A" w:rsidRPr="00CC2C3A" w:rsidRDefault="00CC2C3A" w:rsidP="004B28D5">
      <w:pPr>
        <w:spacing w:after="0" w:line="240" w:lineRule="auto"/>
        <w:rPr>
          <w:rFonts w:eastAsia="FoundryFormSans-Book" w:cs="FoundryFormSans-Book"/>
          <w:color w:val="808080" w:themeColor="background1" w:themeShade="80"/>
          <w:sz w:val="18"/>
          <w:szCs w:val="18"/>
        </w:rPr>
      </w:pPr>
    </w:p>
    <w:p w14:paraId="65F887E1" w14:textId="77777777" w:rsidR="00CC2C3A" w:rsidRPr="00CC2C3A" w:rsidRDefault="00CC2C3A" w:rsidP="004B28D5">
      <w:pPr>
        <w:spacing w:after="0" w:line="240" w:lineRule="auto"/>
        <w:rPr>
          <w:rFonts w:eastAsia="FoundryFormSans-Book" w:cs="FoundryFormSans-Book"/>
          <w:color w:val="808080" w:themeColor="background1" w:themeShade="80"/>
          <w:sz w:val="18"/>
          <w:szCs w:val="18"/>
        </w:rPr>
      </w:pPr>
    </w:p>
    <w:p w14:paraId="04337B2D" w14:textId="46091FD9" w:rsidR="001A5560" w:rsidRPr="00CC2C3A" w:rsidRDefault="001A5560" w:rsidP="004B28D5">
      <w:pPr>
        <w:spacing w:after="0" w:line="240" w:lineRule="auto"/>
        <w:rPr>
          <w:rFonts w:eastAsia="FoundryFormSans-Book" w:cs="FoundryFormSans-Book"/>
          <w:color w:val="808080" w:themeColor="background1" w:themeShade="80"/>
          <w:sz w:val="18"/>
          <w:szCs w:val="18"/>
        </w:rPr>
      </w:pPr>
    </w:p>
    <w:p w14:paraId="6717B201" w14:textId="5DB1B12B" w:rsidR="001A5560" w:rsidRPr="00CC2C3A" w:rsidRDefault="001A5560" w:rsidP="004B28D5">
      <w:pPr>
        <w:spacing w:after="0" w:line="240" w:lineRule="auto"/>
        <w:rPr>
          <w:rFonts w:eastAsia="FoundryFormSans-Book" w:cs="FoundryFormSans-Book"/>
          <w:color w:val="808080" w:themeColor="background1" w:themeShade="80"/>
          <w:sz w:val="18"/>
          <w:szCs w:val="18"/>
        </w:rPr>
      </w:pPr>
      <w:r w:rsidRPr="00CC2C3A">
        <w:rPr>
          <w:rFonts w:eastAsia="FoundryFormSans-Book" w:cs="FoundryFormSans-Book"/>
          <w:noProof/>
          <w:color w:val="808080" w:themeColor="background1" w:themeShade="80"/>
          <w:sz w:val="18"/>
          <w:szCs w:val="18"/>
          <w:lang w:eastAsia="da-DK"/>
        </w:rPr>
        <mc:AlternateContent>
          <mc:Choice Requires="wpg">
            <w:drawing>
              <wp:anchor distT="0" distB="0" distL="114300" distR="114300" simplePos="0" relativeHeight="251665408" behindDoc="0" locked="0" layoutInCell="1" allowOverlap="1" wp14:anchorId="24D400C5" wp14:editId="606EDBF8">
                <wp:simplePos x="0" y="0"/>
                <wp:positionH relativeFrom="margin">
                  <wp:posOffset>0</wp:posOffset>
                </wp:positionH>
                <wp:positionV relativeFrom="paragraph">
                  <wp:posOffset>4575452</wp:posOffset>
                </wp:positionV>
                <wp:extent cx="5562600" cy="752963"/>
                <wp:effectExtent l="0" t="0" r="0" b="9525"/>
                <wp:wrapNone/>
                <wp:docPr id="19" name="Gruppe 19"/>
                <wp:cNvGraphicFramePr/>
                <a:graphic xmlns:a="http://schemas.openxmlformats.org/drawingml/2006/main">
                  <a:graphicData uri="http://schemas.microsoft.com/office/word/2010/wordprocessingGroup">
                    <wpg:wgp>
                      <wpg:cNvGrpSpPr/>
                      <wpg:grpSpPr>
                        <a:xfrm>
                          <a:off x="0" y="0"/>
                          <a:ext cx="5562600" cy="752963"/>
                          <a:chOff x="0" y="0"/>
                          <a:chExt cx="5563123" cy="753248"/>
                        </a:xfrm>
                      </wpg:grpSpPr>
                      <wps:wsp>
                        <wps:cNvPr id="20" name="Tekstfelt 2"/>
                        <wps:cNvSpPr txBox="1">
                          <a:spLocks noChangeArrowheads="1"/>
                        </wps:cNvSpPr>
                        <wps:spPr bwMode="auto">
                          <a:xfrm>
                            <a:off x="971439" y="19031"/>
                            <a:ext cx="4591684" cy="659129"/>
                          </a:xfrm>
                          <a:prstGeom prst="rect">
                            <a:avLst/>
                          </a:prstGeom>
                          <a:solidFill>
                            <a:srgbClr val="FFFFFF"/>
                          </a:solidFill>
                          <a:ln w="9525">
                            <a:noFill/>
                            <a:miter lim="800000"/>
                            <a:headEnd/>
                            <a:tailEnd/>
                          </a:ln>
                        </wps:spPr>
                        <wps:txbx>
                          <w:txbxContent>
                            <w:p w14:paraId="0145D859" w14:textId="77777777" w:rsidR="00CB3F84" w:rsidRPr="00321A8B" w:rsidRDefault="00CB3F84" w:rsidP="00CB3F8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6F898567" w14:textId="77777777" w:rsidR="00CB3F84" w:rsidRPr="00321A8B" w:rsidRDefault="00CB3F84" w:rsidP="00CB3F8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grpSp>
                        <wpg:cNvPr id="21" name="Group 2"/>
                        <wpg:cNvGrpSpPr>
                          <a:grpSpLocks/>
                        </wpg:cNvGrpSpPr>
                        <wpg:grpSpPr bwMode="auto">
                          <a:xfrm>
                            <a:off x="0" y="0"/>
                            <a:ext cx="1062355" cy="753248"/>
                            <a:chOff x="744" y="136"/>
                            <a:chExt cx="988" cy="854"/>
                          </a:xfrm>
                        </wpg:grpSpPr>
                        <wps:wsp>
                          <wps:cNvPr id="22" name="Rectangle 6"/>
                          <wps:cNvSpPr>
                            <a:spLocks noChangeArrowheads="1"/>
                          </wps:cNvSpPr>
                          <wps:spPr bwMode="auto">
                            <a:xfrm>
                              <a:off x="744" y="608"/>
                              <a:ext cx="868" cy="362"/>
                            </a:xfrm>
                            <a:prstGeom prst="rect">
                              <a:avLst/>
                            </a:prstGeom>
                            <a:solidFill>
                              <a:srgbClr val="B123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744" y="136"/>
                              <a:ext cx="868" cy="472"/>
                            </a:xfrm>
                            <a:prstGeom prst="rect">
                              <a:avLst/>
                            </a:prstGeom>
                            <a:solidFill>
                              <a:srgbClr val="254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4"/>
                          <wps:cNvSpPr txBox="1">
                            <a:spLocks noChangeArrowheads="1"/>
                          </wps:cNvSpPr>
                          <wps:spPr bwMode="auto">
                            <a:xfrm>
                              <a:off x="831" y="182"/>
                              <a:ext cx="90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31B0" w14:textId="77777777" w:rsidR="00CB3F84" w:rsidRPr="00321A8B" w:rsidRDefault="00CB3F84" w:rsidP="00CB3F8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25" name="Text Box 3"/>
                          <wps:cNvSpPr txBox="1">
                            <a:spLocks noChangeArrowheads="1"/>
                          </wps:cNvSpPr>
                          <wps:spPr bwMode="auto">
                            <a:xfrm>
                              <a:off x="831" y="697"/>
                              <a:ext cx="42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A6B8" w14:textId="77777777" w:rsidR="00CB3F84" w:rsidRPr="00321A8B" w:rsidRDefault="00CB3F84" w:rsidP="00CB3F8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4D400C5" id="Gruppe 19" o:spid="_x0000_s1026" style="position:absolute;margin-left:0;margin-top:360.25pt;width:438pt;height:59.3pt;z-index:251665408;mso-position-horizontal-relative:margin;mso-height-relative:margin" coordsize="5563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ok3wMAAE4PAAAOAAAAZHJzL2Uyb0RvYy54bWzsV9tu3DYQfS+QfyD0Xq/uKwmWg8SJjQJp&#10;GzTJB3Al6oJIIkNyrXW+vsOhLtt1kjYObOeh+6AlJXJEnjnncHT+/NB35IZJ1fIhd7wz1yFsKHjZ&#10;DnXufHh/9WviEKXpUNKODyx3bplynl88++V8FBnzecO7kkkCQQaVjSJ3Gq1FttmoomE9VWdcsAEe&#10;Vlz2VENX1ptS0hGi993Gd914M3JZCskLphTcfWUfOhcYv6pYof+sKsU06XIH1qbxKvG6M9fNxTnN&#10;aklF0xbTMug9VtHTdoCXLqFeUU3JXrZ3QvVtIbnilT4reL/hVdUWDPcAu/Hck91cS74XuJc6G2ux&#10;wATQnuB077DFHzdvJWlLyF3qkIH2kKNruReCEbgB6IyizmDQtRTvxFs53ahtz2z4UMne/MNWyAFx&#10;vV1wZQdNCrgZRbEfuwB/Ac+2kZ/GgQW+aCA7d6YVzet1YuD5wTwx8MPETNzMr92Y1S2LGQVwSK0w&#10;qR+D6V1DBUP0lUFggsmHbViY3rOPSles08S3QOEwgxLRh5cc9u0hJZR4w4uPigz8sqFDzV5IyceG&#10;0RLW5+F2zMLhDWaqAVxlygTZjb/zEtJB95pjoBOo060XBpA0wNRL3QBD0WzGPIxSL05CC10MHR/T&#10;uUBHMyGVvma8J6aROxK0gq+hN2+UtijPQ0yCFe/a8qrtOuzIenfZSXJDQVdX+JsS849h3UDG3Ekj&#10;P8LIAzfzITTN+laD7ru2z53ENT8znWYGltdDiW1N2862YdHdAGmfobEg6cPuAAPNzR0vbwExya2+&#10;wY+g0XD52SEjaDt31Kc9lcwh3W8DoJ56YWjMADthtDU5lcdPdsdP6FBAqNzRDrHNS40GgjiIF5Cd&#10;qxbxWlcyrRXIaAWEFLXNIyZ5M5NQ5zOLjuVmXoFzkUGwWST8Ksej6P+BMLDLu9r03NgPouhUYjRb&#10;tLkNgUWGZEFsk7TqM03A3o2okyic8m9J+hTC9Gc4/wImg9A6RnDBJi2LuoDHDyTHGabYRY9alZjE&#10;E0hBjEbxEBJ8CS65CPxEgoZEi/K+LKUn0Q/ZC9nWDSjV+uTAjZaqb2vpMRwezhvr8CuRIsPuRybS&#10;orfZ0hcihdsHI5IfhS6cGsZqTizfOPD/RJLllwq1r5QK4JtzqQAFDZQEBJE94tHjVAoJFAfo4Any&#10;ZrWm1IUHxr9DH63y/ta0GIw9qv+VKObwtmXnrKzv9KDl/F7ObmjYcxsaXzuzf1rPgQP4hCpYIj8Z&#10;VeJ0axKzUiX0t5YqfoorewKqLGX2z0qVteqZKjX4aEMjnT4wzVfhcR9HrZ/BF38DAAD//wMAUEsD&#10;BBQABgAIAAAAIQDpfbih4AAAAAgBAAAPAAAAZHJzL2Rvd25yZXYueG1sTI9PS8NAEMXvgt9hGcGb&#10;3aSlf4zZlFLUUxFsBfE2TaZJaHY2ZLdJ+u0dT/Y2M+/x5vfS9Wgb1VPna8cG4kkEijh3Rc2lga/D&#10;29MKlA/IBTaOycCVPKyz+7sUk8IN/En9PpRKQtgnaKAKoU209nlFFv3EtcSinVxnMcjalbrocJBw&#10;2+hpFC20xZrlQ4UtbSvKz/uLNfA+4LCZxa/97nzaXn8O84/vXUzGPD6MmxdQgcbwb4Y/fEGHTJiO&#10;7sKFV40BKRIMLKfRHJTIq+VCLkcZZs8x6CzVtwWyXwAAAP//AwBQSwECLQAUAAYACAAAACEAtoM4&#10;kv4AAADhAQAAEwAAAAAAAAAAAAAAAAAAAAAAW0NvbnRlbnRfVHlwZXNdLnhtbFBLAQItABQABgAI&#10;AAAAIQA4/SH/1gAAAJQBAAALAAAAAAAAAAAAAAAAAC8BAABfcmVscy8ucmVsc1BLAQItABQABgAI&#10;AAAAIQApOTok3wMAAE4PAAAOAAAAAAAAAAAAAAAAAC4CAABkcnMvZTJvRG9jLnhtbFBLAQItABQA&#10;BgAIAAAAIQDpfbih4AAAAAgBAAAPAAAAAAAAAAAAAAAAADkGAABkcnMvZG93bnJldi54bWxQSwUG&#10;AAAAAAQABADzAAAARgcAAAAA&#10;">
                <v:shapetype id="_x0000_t202" coordsize="21600,21600" o:spt="202" path="m,l,21600r21600,l21600,xe">
                  <v:stroke joinstyle="miter"/>
                  <v:path gradientshapeok="t" o:connecttype="rect"/>
                </v:shapetype>
                <v:shape id="Tekstfelt 2" o:spid="_x0000_s1027" type="#_x0000_t202" style="position:absolute;left:9714;top:190;width:45917;height:6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0145D859" w14:textId="77777777" w:rsidR="00CB3F84" w:rsidRPr="00321A8B" w:rsidRDefault="00CB3F84" w:rsidP="00CB3F84">
                        <w:pPr>
                          <w:spacing w:after="0" w:line="240" w:lineRule="auto"/>
                          <w:rPr>
                            <w:color w:val="808080" w:themeColor="background1" w:themeShade="80"/>
                            <w:sz w:val="18"/>
                            <w:szCs w:val="20"/>
                          </w:rPr>
                        </w:pPr>
                        <w:r w:rsidRPr="00321A8B">
                          <w:rPr>
                            <w:color w:val="808080" w:themeColor="background1" w:themeShade="80"/>
                            <w:sz w:val="18"/>
                            <w:szCs w:val="20"/>
                          </w:rPr>
                          <w:t>Dette produkt er risikomærket rød. Det betyder efter Bekendtgørelse om risikomærkning af investeringsprodukter, at der er risiko for at tabe mere end det investerede beløb, eller produkttypen er vanskelig at gennemskue.</w:t>
                        </w:r>
                      </w:p>
                      <w:p w14:paraId="6F898567" w14:textId="77777777" w:rsidR="00CB3F84" w:rsidRPr="00321A8B" w:rsidRDefault="00CB3F84" w:rsidP="00CB3F84">
                        <w:pPr>
                          <w:spacing w:after="0" w:line="240" w:lineRule="auto"/>
                          <w:rPr>
                            <w:rFonts w:cs="Times New Roman"/>
                            <w:color w:val="808080" w:themeColor="background1" w:themeShade="80"/>
                            <w:sz w:val="18"/>
                            <w:szCs w:val="20"/>
                          </w:rPr>
                        </w:pPr>
                        <w:r w:rsidRPr="00321A8B">
                          <w:rPr>
                            <w:color w:val="808080" w:themeColor="background1" w:themeShade="80"/>
                            <w:sz w:val="18"/>
                            <w:szCs w:val="20"/>
                          </w:rPr>
                          <w:t xml:space="preserve">Du kan få mere at vide om risikomærkningen ved at kontakte os. </w:t>
                        </w:r>
                      </w:p>
                    </w:txbxContent>
                  </v:textbox>
                </v:shape>
                <v:group id="Group 2" o:spid="_x0000_s1028" style="position:absolute;width:10623;height:7532" coordorigin="744,136" coordsize="98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6" o:spid="_x0000_s1029" style="position:absolute;left:744;top:608;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yJwgAAANsAAAAPAAAAZHJzL2Rvd25yZXYueG1sRI/RisIw&#10;FETfBf8hXMEX0dSyiHSNsgiK7vpi7Qdcmrtt2eamNLGtf28EYR+HmTnDbHaDqUVHrassK1guIhDE&#10;udUVFwqy22G+BuE8ssbaMil4kIPddjzaYKJtz1fqUl+IAGGXoILS+yaR0uUlGXQL2xAH79e2Bn2Q&#10;bSF1i32Am1rGUbSSBisOCyU2tC8p/0vvRsEtmqXZ94e8+p/+orssO8dHbpSaToavTxCeBv8ffrdP&#10;WkEcw+tL+AFy+wQAAP//AwBQSwECLQAUAAYACAAAACEA2+H2y+4AAACFAQAAEwAAAAAAAAAAAAAA&#10;AAAAAAAAW0NvbnRlbnRfVHlwZXNdLnhtbFBLAQItABQABgAIAAAAIQBa9CxbvwAAABUBAAALAAAA&#10;AAAAAAAAAAAAAB8BAABfcmVscy8ucmVsc1BLAQItABQABgAIAAAAIQBOTuyJwgAAANsAAAAPAAAA&#10;AAAAAAAAAAAAAAcCAABkcnMvZG93bnJldi54bWxQSwUGAAAAAAMAAwC3AAAA9gIAAAAA&#10;" fillcolor="#b12329" stroked="f"/>
                  <v:rect id="Rectangle 5" o:spid="_x0000_s1030" style="position:absolute;left:744;top:136;width:86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jLBwwAAANsAAAAPAAAAZHJzL2Rvd25yZXYueG1sRI9Ba8JA&#10;FITvQv/D8gredGMqoaSu0haEnkQTe+jtkX0modm3IbvG9d+7guBxmJlvmNUmmE6MNLjWsoLFPAFB&#10;XFndcq3gWG5n7yCcR9bYWSYFV3KwWb9MVphre+EDjYWvRYSwy1FB432fS+mqhgy6ue2Jo3eyg0Ef&#10;5VBLPeAlwk0n0yTJpMGW40KDPX03VP0XZ6NAh/3it/yivywsqc6q4jTuUqnU9DV8foDwFPwz/Gj/&#10;aAXpG9y/xB8g1zcAAAD//wMAUEsBAi0AFAAGAAgAAAAhANvh9svuAAAAhQEAABMAAAAAAAAAAAAA&#10;AAAAAAAAAFtDb250ZW50X1R5cGVzXS54bWxQSwECLQAUAAYACAAAACEAWvQsW78AAAAVAQAACwAA&#10;AAAAAAAAAAAAAAAfAQAAX3JlbHMvLnJlbHNQSwECLQAUAAYACAAAACEAdHoywcMAAADbAAAADwAA&#10;AAAAAAAAAAAAAAAHAgAAZHJzL2Rvd25yZXYueG1sUEsFBgAAAAADAAMAtwAAAPcCAAAAAA==&#10;" fillcolor="#254084" stroked="f"/>
                  <v:shape id="Text Box 4" o:spid="_x0000_s1031" type="#_x0000_t202" style="position:absolute;left:831;top:182;width:90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F4631B0" w14:textId="77777777" w:rsidR="00CB3F84" w:rsidRPr="00321A8B" w:rsidRDefault="00CB3F84" w:rsidP="00CB3F84">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2" type="#_x0000_t202" style="position:absolute;left:831;top:697;width:42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0B5A6B8" w14:textId="77777777" w:rsidR="00CB3F84" w:rsidRPr="00321A8B" w:rsidRDefault="00CB3F84" w:rsidP="00CB3F84">
                          <w:pPr>
                            <w:spacing w:after="0" w:line="240" w:lineRule="auto"/>
                            <w:rPr>
                              <w:rFonts w:ascii="Calibri" w:hAnsi="Calibri"/>
                              <w:b/>
                              <w:color w:val="FFFFFF" w:themeColor="background1"/>
                              <w:szCs w:val="28"/>
                            </w:rPr>
                          </w:pPr>
                          <w:r w:rsidRPr="00321A8B">
                            <w:rPr>
                              <w:rFonts w:ascii="Calibri" w:hAnsi="Calibri"/>
                              <w:b/>
                              <w:color w:val="FFFFFF" w:themeColor="background1"/>
                              <w:w w:val="95"/>
                              <w:szCs w:val="28"/>
                            </w:rPr>
                            <w:t>RØD</w:t>
                          </w:r>
                        </w:p>
                      </w:txbxContent>
                    </v:textbox>
                  </v:shape>
                </v:group>
                <w10:wrap anchorx="margin"/>
              </v:group>
            </w:pict>
          </mc:Fallback>
        </mc:AlternateContent>
      </w:r>
    </w:p>
    <w:sectPr w:rsidR="001A5560" w:rsidRPr="00CC2C3A" w:rsidSect="00CC2C3A">
      <w:type w:val="continuous"/>
      <w:pgSz w:w="11906" w:h="16838"/>
      <w:pgMar w:top="1701" w:right="1134" w:bottom="1701" w:left="1134"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1C64" w14:textId="77777777" w:rsidR="00626555" w:rsidRDefault="00626555" w:rsidP="00626555">
      <w:pPr>
        <w:spacing w:after="0" w:line="240" w:lineRule="auto"/>
      </w:pPr>
      <w:r>
        <w:separator/>
      </w:r>
    </w:p>
  </w:endnote>
  <w:endnote w:type="continuationSeparator" w:id="0">
    <w:p w14:paraId="61504BEA" w14:textId="77777777" w:rsidR="00626555" w:rsidRDefault="00626555" w:rsidP="0062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undryFormSans-Medium">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D6B0" w14:textId="77777777" w:rsidR="00626555" w:rsidRDefault="0062655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3EC8" w14:textId="77777777" w:rsidR="00626555" w:rsidRDefault="0062655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3141" w14:textId="77777777" w:rsidR="00626555" w:rsidRDefault="006265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6E20" w14:textId="77777777" w:rsidR="00626555" w:rsidRDefault="00626555" w:rsidP="00626555">
      <w:pPr>
        <w:spacing w:after="0" w:line="240" w:lineRule="auto"/>
      </w:pPr>
      <w:r>
        <w:separator/>
      </w:r>
    </w:p>
  </w:footnote>
  <w:footnote w:type="continuationSeparator" w:id="0">
    <w:p w14:paraId="62175636" w14:textId="77777777" w:rsidR="00626555" w:rsidRDefault="00626555" w:rsidP="00626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AD98" w14:textId="77777777" w:rsidR="00626555" w:rsidRDefault="0062655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CCD2" w14:textId="77777777" w:rsidR="00626555" w:rsidRDefault="0062655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789B" w14:textId="77777777" w:rsidR="00626555" w:rsidRDefault="0062655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2742422E"/>
    <w:multiLevelType w:val="hybridMultilevel"/>
    <w:tmpl w:val="280A6BF2"/>
    <w:lvl w:ilvl="0" w:tplc="AA285876">
      <w:start w:val="2"/>
      <w:numFmt w:val="decimal"/>
      <w:lvlText w:val="%1."/>
      <w:lvlJc w:val="left"/>
      <w:pPr>
        <w:ind w:left="349" w:hanging="227"/>
      </w:pPr>
      <w:rPr>
        <w:rFonts w:ascii="FoundryFormSans-Medium" w:eastAsia="FoundryFormSans-Medium" w:hAnsi="FoundryFormSans-Medium" w:cs="FoundryFormSans-Medium" w:hint="default"/>
        <w:color w:val="58595B"/>
        <w:w w:val="100"/>
        <w:sz w:val="18"/>
        <w:szCs w:val="18"/>
      </w:rPr>
    </w:lvl>
    <w:lvl w:ilvl="1" w:tplc="0AFCA840">
      <w:numFmt w:val="bullet"/>
      <w:lvlText w:val="•"/>
      <w:lvlJc w:val="left"/>
      <w:pPr>
        <w:ind w:left="750" w:hanging="227"/>
      </w:pPr>
      <w:rPr>
        <w:rFonts w:hint="default"/>
      </w:rPr>
    </w:lvl>
    <w:lvl w:ilvl="2" w:tplc="3C4C8D56">
      <w:numFmt w:val="bullet"/>
      <w:lvlText w:val="•"/>
      <w:lvlJc w:val="left"/>
      <w:pPr>
        <w:ind w:left="1160" w:hanging="227"/>
      </w:pPr>
      <w:rPr>
        <w:rFonts w:hint="default"/>
      </w:rPr>
    </w:lvl>
    <w:lvl w:ilvl="3" w:tplc="AB08F110">
      <w:numFmt w:val="bullet"/>
      <w:lvlText w:val="•"/>
      <w:lvlJc w:val="left"/>
      <w:pPr>
        <w:ind w:left="1570" w:hanging="227"/>
      </w:pPr>
      <w:rPr>
        <w:rFonts w:hint="default"/>
      </w:rPr>
    </w:lvl>
    <w:lvl w:ilvl="4" w:tplc="9272CADE">
      <w:numFmt w:val="bullet"/>
      <w:lvlText w:val="•"/>
      <w:lvlJc w:val="left"/>
      <w:pPr>
        <w:ind w:left="1980" w:hanging="227"/>
      </w:pPr>
      <w:rPr>
        <w:rFonts w:hint="default"/>
      </w:rPr>
    </w:lvl>
    <w:lvl w:ilvl="5" w:tplc="57BC5732">
      <w:numFmt w:val="bullet"/>
      <w:lvlText w:val="•"/>
      <w:lvlJc w:val="left"/>
      <w:pPr>
        <w:ind w:left="2390" w:hanging="227"/>
      </w:pPr>
      <w:rPr>
        <w:rFonts w:hint="default"/>
      </w:rPr>
    </w:lvl>
    <w:lvl w:ilvl="6" w:tplc="A39C3748">
      <w:numFmt w:val="bullet"/>
      <w:lvlText w:val="•"/>
      <w:lvlJc w:val="left"/>
      <w:pPr>
        <w:ind w:left="2801" w:hanging="227"/>
      </w:pPr>
      <w:rPr>
        <w:rFonts w:hint="default"/>
      </w:rPr>
    </w:lvl>
    <w:lvl w:ilvl="7" w:tplc="0FE40092">
      <w:numFmt w:val="bullet"/>
      <w:lvlText w:val="•"/>
      <w:lvlJc w:val="left"/>
      <w:pPr>
        <w:ind w:left="3211" w:hanging="227"/>
      </w:pPr>
      <w:rPr>
        <w:rFonts w:hint="default"/>
      </w:rPr>
    </w:lvl>
    <w:lvl w:ilvl="8" w:tplc="5AA6EF4A">
      <w:numFmt w:val="bullet"/>
      <w:lvlText w:val="•"/>
      <w:lvlJc w:val="left"/>
      <w:pPr>
        <w:ind w:left="3621" w:hanging="227"/>
      </w:pPr>
      <w:rPr>
        <w:rFonts w:hint="default"/>
      </w:rPr>
    </w:lvl>
  </w:abstractNum>
  <w:abstractNum w:abstractNumId="2"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6"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8" w15:restartNumberingAfterBreak="0">
    <w:nsid w:val="60531AF1"/>
    <w:multiLevelType w:val="hybridMultilevel"/>
    <w:tmpl w:val="87D09996"/>
    <w:lvl w:ilvl="0" w:tplc="7D908A26">
      <w:start w:val="1"/>
      <w:numFmt w:val="decimal"/>
      <w:lvlText w:val="%1."/>
      <w:lvlJc w:val="left"/>
      <w:pPr>
        <w:ind w:left="569" w:hanging="227"/>
      </w:pPr>
      <w:rPr>
        <w:rFonts w:ascii="FoundryFormSans-Medium" w:eastAsia="FoundryFormSans-Medium" w:hAnsi="FoundryFormSans-Medium" w:cs="FoundryFormSans-Medium" w:hint="default"/>
        <w:color w:val="58595B"/>
        <w:spacing w:val="-3"/>
        <w:w w:val="100"/>
        <w:sz w:val="18"/>
        <w:szCs w:val="18"/>
      </w:rPr>
    </w:lvl>
    <w:lvl w:ilvl="1" w:tplc="7D744EFE">
      <w:numFmt w:val="bullet"/>
      <w:lvlText w:val="•"/>
      <w:lvlJc w:val="left"/>
      <w:pPr>
        <w:ind w:left="832" w:hanging="227"/>
      </w:pPr>
      <w:rPr>
        <w:rFonts w:hint="default"/>
      </w:rPr>
    </w:lvl>
    <w:lvl w:ilvl="2" w:tplc="EA78A6D0">
      <w:numFmt w:val="bullet"/>
      <w:lvlText w:val="•"/>
      <w:lvlJc w:val="left"/>
      <w:pPr>
        <w:ind w:left="1105" w:hanging="227"/>
      </w:pPr>
      <w:rPr>
        <w:rFonts w:hint="default"/>
      </w:rPr>
    </w:lvl>
    <w:lvl w:ilvl="3" w:tplc="1728A25A">
      <w:numFmt w:val="bullet"/>
      <w:lvlText w:val="•"/>
      <w:lvlJc w:val="left"/>
      <w:pPr>
        <w:ind w:left="1378" w:hanging="227"/>
      </w:pPr>
      <w:rPr>
        <w:rFonts w:hint="default"/>
      </w:rPr>
    </w:lvl>
    <w:lvl w:ilvl="4" w:tplc="D4460F62">
      <w:numFmt w:val="bullet"/>
      <w:lvlText w:val="•"/>
      <w:lvlJc w:val="left"/>
      <w:pPr>
        <w:ind w:left="1650" w:hanging="227"/>
      </w:pPr>
      <w:rPr>
        <w:rFonts w:hint="default"/>
      </w:rPr>
    </w:lvl>
    <w:lvl w:ilvl="5" w:tplc="6C4C0DB2">
      <w:numFmt w:val="bullet"/>
      <w:lvlText w:val="•"/>
      <w:lvlJc w:val="left"/>
      <w:pPr>
        <w:ind w:left="1923" w:hanging="227"/>
      </w:pPr>
      <w:rPr>
        <w:rFonts w:hint="default"/>
      </w:rPr>
    </w:lvl>
    <w:lvl w:ilvl="6" w:tplc="A02660A6">
      <w:numFmt w:val="bullet"/>
      <w:lvlText w:val="•"/>
      <w:lvlJc w:val="left"/>
      <w:pPr>
        <w:ind w:left="2196" w:hanging="227"/>
      </w:pPr>
      <w:rPr>
        <w:rFonts w:hint="default"/>
      </w:rPr>
    </w:lvl>
    <w:lvl w:ilvl="7" w:tplc="23249746">
      <w:numFmt w:val="bullet"/>
      <w:lvlText w:val="•"/>
      <w:lvlJc w:val="left"/>
      <w:pPr>
        <w:ind w:left="2469" w:hanging="227"/>
      </w:pPr>
      <w:rPr>
        <w:rFonts w:hint="default"/>
      </w:rPr>
    </w:lvl>
    <w:lvl w:ilvl="8" w:tplc="DBF4DF54">
      <w:numFmt w:val="bullet"/>
      <w:lvlText w:val="•"/>
      <w:lvlJc w:val="left"/>
      <w:pPr>
        <w:ind w:left="2741" w:hanging="227"/>
      </w:pPr>
      <w:rPr>
        <w:rFonts w:hint="default"/>
      </w:rPr>
    </w:lvl>
  </w:abstractNum>
  <w:abstractNum w:abstractNumId="9"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10"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7"/>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135D5"/>
    <w:rsid w:val="00026373"/>
    <w:rsid w:val="00057B4B"/>
    <w:rsid w:val="000971DC"/>
    <w:rsid w:val="000C1CE0"/>
    <w:rsid w:val="001118B2"/>
    <w:rsid w:val="00112881"/>
    <w:rsid w:val="0011688E"/>
    <w:rsid w:val="00142D8E"/>
    <w:rsid w:val="001470FF"/>
    <w:rsid w:val="00160C2F"/>
    <w:rsid w:val="00160D9A"/>
    <w:rsid w:val="00196DB3"/>
    <w:rsid w:val="001A4069"/>
    <w:rsid w:val="001A5560"/>
    <w:rsid w:val="001C2E4C"/>
    <w:rsid w:val="001D0DBB"/>
    <w:rsid w:val="0026194A"/>
    <w:rsid w:val="0032049E"/>
    <w:rsid w:val="003268E0"/>
    <w:rsid w:val="003A2BD3"/>
    <w:rsid w:val="003A6357"/>
    <w:rsid w:val="003B4A02"/>
    <w:rsid w:val="003D779E"/>
    <w:rsid w:val="003E316E"/>
    <w:rsid w:val="00434EA8"/>
    <w:rsid w:val="004356C2"/>
    <w:rsid w:val="004435D2"/>
    <w:rsid w:val="0044798B"/>
    <w:rsid w:val="00480311"/>
    <w:rsid w:val="00480C44"/>
    <w:rsid w:val="004B08A9"/>
    <w:rsid w:val="004B28D5"/>
    <w:rsid w:val="004F6FE0"/>
    <w:rsid w:val="00532235"/>
    <w:rsid w:val="00537E32"/>
    <w:rsid w:val="00564054"/>
    <w:rsid w:val="005B54B8"/>
    <w:rsid w:val="00606F11"/>
    <w:rsid w:val="006133A9"/>
    <w:rsid w:val="00624D82"/>
    <w:rsid w:val="00625139"/>
    <w:rsid w:val="00626555"/>
    <w:rsid w:val="00644EE5"/>
    <w:rsid w:val="00647D5F"/>
    <w:rsid w:val="00673BE3"/>
    <w:rsid w:val="006A135D"/>
    <w:rsid w:val="006B42FC"/>
    <w:rsid w:val="006F737A"/>
    <w:rsid w:val="00702015"/>
    <w:rsid w:val="00755528"/>
    <w:rsid w:val="00796F07"/>
    <w:rsid w:val="007A6F3E"/>
    <w:rsid w:val="007D059F"/>
    <w:rsid w:val="00825349"/>
    <w:rsid w:val="00850F6A"/>
    <w:rsid w:val="008D4361"/>
    <w:rsid w:val="008D7B4B"/>
    <w:rsid w:val="008E7655"/>
    <w:rsid w:val="008F26A5"/>
    <w:rsid w:val="0091350E"/>
    <w:rsid w:val="00955891"/>
    <w:rsid w:val="00971A87"/>
    <w:rsid w:val="00974C60"/>
    <w:rsid w:val="0098025C"/>
    <w:rsid w:val="009A6DBD"/>
    <w:rsid w:val="009F7F16"/>
    <w:rsid w:val="00A16033"/>
    <w:rsid w:val="00A17FB3"/>
    <w:rsid w:val="00A318A8"/>
    <w:rsid w:val="00AA656C"/>
    <w:rsid w:val="00AB3004"/>
    <w:rsid w:val="00AC06D6"/>
    <w:rsid w:val="00AC1BAC"/>
    <w:rsid w:val="00AD6607"/>
    <w:rsid w:val="00AE7B13"/>
    <w:rsid w:val="00AF0FB9"/>
    <w:rsid w:val="00B22F19"/>
    <w:rsid w:val="00B40E8D"/>
    <w:rsid w:val="00B552FD"/>
    <w:rsid w:val="00B628E6"/>
    <w:rsid w:val="00B87029"/>
    <w:rsid w:val="00BA2DEE"/>
    <w:rsid w:val="00BD46BA"/>
    <w:rsid w:val="00C33C83"/>
    <w:rsid w:val="00C908C4"/>
    <w:rsid w:val="00CA3EBD"/>
    <w:rsid w:val="00CB080F"/>
    <w:rsid w:val="00CB1817"/>
    <w:rsid w:val="00CB3F84"/>
    <w:rsid w:val="00CB5FC1"/>
    <w:rsid w:val="00CC2AB0"/>
    <w:rsid w:val="00CC2C3A"/>
    <w:rsid w:val="00D07259"/>
    <w:rsid w:val="00D07A32"/>
    <w:rsid w:val="00D27387"/>
    <w:rsid w:val="00D5202A"/>
    <w:rsid w:val="00D62353"/>
    <w:rsid w:val="00D87C0D"/>
    <w:rsid w:val="00DC79DC"/>
    <w:rsid w:val="00DE728E"/>
    <w:rsid w:val="00E15B1E"/>
    <w:rsid w:val="00E23F6E"/>
    <w:rsid w:val="00E3140B"/>
    <w:rsid w:val="00E4135A"/>
    <w:rsid w:val="00EA314F"/>
    <w:rsid w:val="00EA42A8"/>
    <w:rsid w:val="00F47B7A"/>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CBBEF"/>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 w:type="paragraph" w:styleId="Kommentaremne">
    <w:name w:val="annotation subject"/>
    <w:basedOn w:val="Kommentartekst"/>
    <w:next w:val="Kommentartekst"/>
    <w:link w:val="KommentaremneTegn"/>
    <w:uiPriority w:val="99"/>
    <w:semiHidden/>
    <w:unhideWhenUsed/>
    <w:rsid w:val="0011688E"/>
    <w:pPr>
      <w:widowControl/>
      <w:autoSpaceDE/>
      <w:autoSpaceDN/>
      <w:spacing w:after="200"/>
    </w:pPr>
    <w:rPr>
      <w:rFonts w:asciiTheme="minorHAnsi" w:eastAsiaTheme="minorHAnsi" w:hAnsiTheme="minorHAnsi" w:cstheme="minorBidi"/>
      <w:b/>
      <w:bCs/>
      <w:lang w:val="da-DK"/>
    </w:rPr>
  </w:style>
  <w:style w:type="character" w:customStyle="1" w:styleId="KommentaremneTegn">
    <w:name w:val="Kommentaremne Tegn"/>
    <w:basedOn w:val="KommentartekstTegn"/>
    <w:link w:val="Kommentaremne"/>
    <w:uiPriority w:val="99"/>
    <w:semiHidden/>
    <w:rsid w:val="0011688E"/>
    <w:rPr>
      <w:rFonts w:ascii="FoundryFormSans-Book" w:eastAsia="FoundryFormSans-Book" w:hAnsi="FoundryFormSans-Book" w:cs="FoundryFormSans-Book"/>
      <w:b/>
      <w:bCs/>
      <w:sz w:val="20"/>
      <w:szCs w:val="20"/>
      <w:lang w:val="en-US"/>
    </w:rPr>
  </w:style>
  <w:style w:type="paragraph" w:styleId="Sidehoved">
    <w:name w:val="header"/>
    <w:basedOn w:val="Normal"/>
    <w:link w:val="SidehovedTegn"/>
    <w:uiPriority w:val="99"/>
    <w:unhideWhenUsed/>
    <w:rsid w:val="006265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6555"/>
  </w:style>
  <w:style w:type="paragraph" w:styleId="Sidefod">
    <w:name w:val="footer"/>
    <w:basedOn w:val="Normal"/>
    <w:link w:val="SidefodTegn"/>
    <w:uiPriority w:val="99"/>
    <w:unhideWhenUsed/>
    <w:rsid w:val="006265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BF3B-090E-4B4D-964D-106C20AD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1259</Words>
  <Characters>7686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5</cp:revision>
  <dcterms:created xsi:type="dcterms:W3CDTF">2020-11-04T09:33:00Z</dcterms:created>
  <dcterms:modified xsi:type="dcterms:W3CDTF">2020-12-21T10:39:00Z</dcterms:modified>
</cp:coreProperties>
</file>